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F9" w:rsidRPr="00DE0667" w:rsidRDefault="000E2BD6" w:rsidP="000E2BD6">
      <w:pPr>
        <w:jc w:val="center"/>
        <w:rPr>
          <w:b/>
        </w:rPr>
      </w:pPr>
      <w:bookmarkStart w:id="0" w:name="_GoBack"/>
      <w:r w:rsidRPr="00DE0667">
        <w:rPr>
          <w:b/>
        </w:rPr>
        <w:t>Impact of Brexit on Contract Law</w:t>
      </w:r>
    </w:p>
    <w:p w:rsidR="00E806F1" w:rsidRPr="00DE0667" w:rsidRDefault="0019043F" w:rsidP="00E806F1">
      <w:pPr>
        <w:jc w:val="center"/>
        <w:rPr>
          <w:b/>
        </w:rPr>
      </w:pPr>
      <w:r w:rsidRPr="00DE0667">
        <w:rPr>
          <w:b/>
        </w:rPr>
        <w:t>Jane Woods, Lecturer in Law at</w:t>
      </w:r>
      <w:r w:rsidR="00274DD7" w:rsidRPr="00DE0667">
        <w:rPr>
          <w:b/>
        </w:rPr>
        <w:t xml:space="preserve"> the University of Brighton</w:t>
      </w:r>
    </w:p>
    <w:p w:rsidR="0019043F" w:rsidRPr="00DE0667" w:rsidRDefault="001A2D3E" w:rsidP="00E806F1">
      <w:pPr>
        <w:rPr>
          <w:b/>
        </w:rPr>
      </w:pPr>
      <w:r w:rsidRPr="00DE0667">
        <w:t xml:space="preserve">Einstein </w:t>
      </w:r>
      <w:r w:rsidR="00CD6B0D">
        <w:t xml:space="preserve">wrote that </w:t>
      </w:r>
      <w:r w:rsidRPr="00DE0667">
        <w:rPr>
          <w:color w:val="181818"/>
        </w:rPr>
        <w:t>“</w:t>
      </w:r>
      <w:r w:rsidR="00CD6B0D">
        <w:rPr>
          <w:color w:val="181818"/>
        </w:rPr>
        <w:t>a</w:t>
      </w:r>
      <w:r w:rsidRPr="00DE0667">
        <w:rPr>
          <w:color w:val="181818"/>
        </w:rPr>
        <w:t xml:space="preserve">s far as the laws of mathematics refer to reality, they are not certain; and as far as they are certain, they do not refer to reality.” Perhaps </w:t>
      </w:r>
      <w:r w:rsidR="00CD174D">
        <w:rPr>
          <w:color w:val="181818"/>
        </w:rPr>
        <w:t>his words can also</w:t>
      </w:r>
      <w:r w:rsidRPr="00DE0667">
        <w:rPr>
          <w:color w:val="181818"/>
        </w:rPr>
        <w:t xml:space="preserve"> apply to the </w:t>
      </w:r>
      <w:r w:rsidR="00C377C0">
        <w:rPr>
          <w:color w:val="181818"/>
        </w:rPr>
        <w:t xml:space="preserve">current </w:t>
      </w:r>
      <w:r w:rsidRPr="00DE0667">
        <w:rPr>
          <w:color w:val="181818"/>
        </w:rPr>
        <w:t xml:space="preserve">laws of politics. </w:t>
      </w:r>
      <w:r w:rsidR="0019043F" w:rsidRPr="00DE0667">
        <w:t>W</w:t>
      </w:r>
      <w:r w:rsidR="000E2BD6" w:rsidRPr="00DE0667">
        <w:t xml:space="preserve">ith no clear </w:t>
      </w:r>
      <w:r w:rsidR="004942CA" w:rsidRPr="00DE0667">
        <w:t>outline for the UK’s new relationship with the European Union</w:t>
      </w:r>
      <w:r w:rsidR="000F3CA2">
        <w:t xml:space="preserve"> (EU)</w:t>
      </w:r>
      <w:r w:rsidR="0019043F" w:rsidRPr="00DE0667">
        <w:t xml:space="preserve">, the future closeness (or not) of the United Kingdom’s </w:t>
      </w:r>
      <w:r w:rsidR="004942CA" w:rsidRPr="00DE0667">
        <w:t>to-be-forged</w:t>
      </w:r>
      <w:r w:rsidR="0019043F" w:rsidRPr="00DE0667">
        <w:t xml:space="preserve"> relationship </w:t>
      </w:r>
      <w:r w:rsidR="00E806F1" w:rsidRPr="00DE0667">
        <w:t xml:space="preserve">with the </w:t>
      </w:r>
      <w:r w:rsidR="000F3CA2">
        <w:t>EU</w:t>
      </w:r>
      <w:r w:rsidR="00E806F1" w:rsidRPr="00DE0667">
        <w:t xml:space="preserve"> </w:t>
      </w:r>
      <w:r w:rsidR="0019043F" w:rsidRPr="00DE0667">
        <w:t>remains an unknown for now.  Consequently a</w:t>
      </w:r>
      <w:r w:rsidR="000E2BD6" w:rsidRPr="00DE0667">
        <w:t xml:space="preserve">ny impact analysis </w:t>
      </w:r>
      <w:r w:rsidR="0019043F" w:rsidRPr="00DE0667">
        <w:t>is, for now,</w:t>
      </w:r>
      <w:r w:rsidR="000E2BD6" w:rsidRPr="00DE0667">
        <w:t xml:space="preserve"> about possibilities and risks</w:t>
      </w:r>
      <w:r w:rsidR="00C5262C" w:rsidRPr="00DE0667">
        <w:t xml:space="preserve"> rather than certainties</w:t>
      </w:r>
      <w:r w:rsidR="000E2BD6" w:rsidRPr="00DE0667">
        <w:t xml:space="preserve">. </w:t>
      </w:r>
    </w:p>
    <w:p w:rsidR="00FE30B2" w:rsidRPr="00DE0667" w:rsidRDefault="005156CD" w:rsidP="000E2BD6">
      <w:r>
        <w:t>That said, i</w:t>
      </w:r>
      <w:r w:rsidR="00E806F1" w:rsidRPr="00DE0667">
        <w:t>t is likely that</w:t>
      </w:r>
      <w:r w:rsidR="00C5262C" w:rsidRPr="00DE0667">
        <w:t xml:space="preserve"> contract law will be less </w:t>
      </w:r>
      <w:r w:rsidR="008F26CC">
        <w:t>affected</w:t>
      </w:r>
      <w:r w:rsidR="00C5262C" w:rsidRPr="00DE0667">
        <w:t xml:space="preserve"> than other areas of the law. Whereas the law</w:t>
      </w:r>
      <w:r w:rsidR="00E806F1" w:rsidRPr="00DE0667">
        <w:t>s</w:t>
      </w:r>
      <w:r w:rsidR="00C5262C" w:rsidRPr="00DE0667">
        <w:t xml:space="preserve"> of intellectual property, data privacy and competition law, for example, </w:t>
      </w:r>
      <w:r w:rsidR="00E201B8" w:rsidRPr="00DE0667">
        <w:t>pivot around</w:t>
      </w:r>
      <w:r w:rsidR="00C5262C" w:rsidRPr="00DE0667">
        <w:t xml:space="preserve"> European legislation, </w:t>
      </w:r>
      <w:r w:rsidR="00666382" w:rsidRPr="00DE0667">
        <w:t>substantive</w:t>
      </w:r>
      <w:r w:rsidR="002E6D18" w:rsidRPr="00DE0667">
        <w:t xml:space="preserve"> </w:t>
      </w:r>
      <w:r w:rsidR="00666382" w:rsidRPr="00DE0667">
        <w:t>contract law in Britain has</w:t>
      </w:r>
      <w:r w:rsidR="00E201B8" w:rsidRPr="00DE0667">
        <w:t xml:space="preserve"> evolved </w:t>
      </w:r>
      <w:r w:rsidR="002E6D18" w:rsidRPr="00DE0667">
        <w:t>through</w:t>
      </w:r>
      <w:r w:rsidR="00C5262C" w:rsidRPr="00DE0667">
        <w:t xml:space="preserve"> case law. </w:t>
      </w:r>
      <w:r w:rsidR="00E806F1" w:rsidRPr="00DE0667">
        <w:t>Thus, t</w:t>
      </w:r>
      <w:r w:rsidR="00C5262C" w:rsidRPr="00DE0667">
        <w:t>he meaning and interpretation of offer, acceptance, consideration and intention, for example, have all evolved through judicial decisions rather than through European legislation.</w:t>
      </w:r>
      <w:r w:rsidR="00FE30B2" w:rsidRPr="00DE0667">
        <w:t xml:space="preserve"> </w:t>
      </w:r>
    </w:p>
    <w:p w:rsidR="00FE30B2" w:rsidRPr="00DE0667" w:rsidRDefault="00E806F1" w:rsidP="000E2BD6">
      <w:r w:rsidRPr="00DE0667">
        <w:t>Nonetheless i</w:t>
      </w:r>
      <w:r w:rsidR="00FE30B2" w:rsidRPr="00DE0667">
        <w:t xml:space="preserve">t is clear that </w:t>
      </w:r>
      <w:r w:rsidR="008F26CC">
        <w:t>Brexit</w:t>
      </w:r>
      <w:r w:rsidR="00FE30B2" w:rsidRPr="00DE0667">
        <w:t xml:space="preserve"> </w:t>
      </w:r>
      <w:r w:rsidR="008F26CC">
        <w:t>could cause</w:t>
      </w:r>
      <w:r w:rsidR="00FE30B2" w:rsidRPr="00DE0667">
        <w:t xml:space="preserve"> a significant impact</w:t>
      </w:r>
      <w:r w:rsidR="002A2A84">
        <w:t xml:space="preserve"> on contract law</w:t>
      </w:r>
      <w:r w:rsidR="00FE30B2" w:rsidRPr="00DE0667">
        <w:t>.</w:t>
      </w:r>
      <w:r w:rsidR="003F080D" w:rsidRPr="00DE0667">
        <w:t xml:space="preserve"> With the uncertainty about our future relationship with the EU, </w:t>
      </w:r>
      <w:r w:rsidR="00FE30B2" w:rsidRPr="00DE0667">
        <w:t xml:space="preserve">we cannot know what approach will be taken to existing legislation. </w:t>
      </w:r>
      <w:r w:rsidR="002813D4" w:rsidRPr="00DE0667">
        <w:t>To take one commercial example, w</w:t>
      </w:r>
      <w:r w:rsidR="00FE30B2" w:rsidRPr="00DE0667">
        <w:t>ill the</w:t>
      </w:r>
      <w:r w:rsidR="002813D4" w:rsidRPr="00DE0667">
        <w:t xml:space="preserve"> consumer</w:t>
      </w:r>
      <w:r w:rsidR="00FE30B2" w:rsidRPr="00DE0667">
        <w:t xml:space="preserve"> </w:t>
      </w:r>
      <w:r w:rsidR="002813D4" w:rsidRPr="00DE0667">
        <w:t xml:space="preserve">protections enshrined in the </w:t>
      </w:r>
      <w:r w:rsidR="00FE30B2" w:rsidRPr="00DE0667">
        <w:t>newly enacted Consumer Rights Act 2015</w:t>
      </w:r>
      <w:r w:rsidR="002813D4" w:rsidRPr="00DE0667">
        <w:t xml:space="preserve"> be watered down in any way? </w:t>
      </w:r>
      <w:r w:rsidR="00322B32">
        <w:t>According to the Office of National Statistics, in 2014 the EU accounted for 44.6% of UK exports of goods and services</w:t>
      </w:r>
      <w:r w:rsidR="008F26CC">
        <w:rPr>
          <w:rStyle w:val="EndnoteReference"/>
        </w:rPr>
        <w:endnoteReference w:id="1"/>
      </w:r>
      <w:r w:rsidR="00322B32">
        <w:t>. If consumer legislation in the UK is changed, either directly or by judicial interpretation, consumer-facing</w:t>
      </w:r>
      <w:r w:rsidR="00FE30B2" w:rsidRPr="00DE0667">
        <w:t xml:space="preserve"> businesses</w:t>
      </w:r>
      <w:r w:rsidR="00322B32">
        <w:t xml:space="preserve"> selling into Europe</w:t>
      </w:r>
      <w:r w:rsidR="00FE30B2" w:rsidRPr="00DE0667">
        <w:t xml:space="preserve"> will face complying with two sets of legislation</w:t>
      </w:r>
      <w:r w:rsidR="00424BFE">
        <w:t xml:space="preserve"> and operating a two-tiered system, with the additional administrative and legal burden that would require</w:t>
      </w:r>
      <w:r w:rsidR="00322B32">
        <w:t>.</w:t>
      </w:r>
    </w:p>
    <w:p w:rsidR="00CD6B0D" w:rsidRDefault="002A2A84" w:rsidP="00CD6B0D">
      <w:r>
        <w:t xml:space="preserve">Of course, </w:t>
      </w:r>
      <w:r w:rsidR="00B31E0A">
        <w:t>t</w:t>
      </w:r>
      <w:r w:rsidR="0055044E">
        <w:t>he impact of Brexit is an expansive topic.</w:t>
      </w:r>
      <w:r w:rsidR="00B31E0A">
        <w:t xml:space="preserve"> This article will therefore </w:t>
      </w:r>
      <w:r w:rsidR="0055044E">
        <w:t>focus on</w:t>
      </w:r>
      <w:r w:rsidR="00B31E0A">
        <w:t xml:space="preserve"> three issues: </w:t>
      </w:r>
    </w:p>
    <w:p w:rsidR="00B31E0A" w:rsidRDefault="0055044E" w:rsidP="00CD6B0D">
      <w:pPr>
        <w:pStyle w:val="ListParagraph"/>
        <w:numPr>
          <w:ilvl w:val="0"/>
          <w:numId w:val="2"/>
        </w:numPr>
      </w:pPr>
      <w:r>
        <w:t>W</w:t>
      </w:r>
      <w:r w:rsidR="00C5262C" w:rsidRPr="00DE0667">
        <w:t xml:space="preserve">ill Brexit influence a contract </w:t>
      </w:r>
      <w:r w:rsidR="00E806F1" w:rsidRPr="00DE0667">
        <w:t>which specifies English law as the governing l</w:t>
      </w:r>
      <w:r w:rsidR="00C5262C" w:rsidRPr="00DE0667">
        <w:t>aw?</w:t>
      </w:r>
    </w:p>
    <w:p w:rsidR="00FE23BF" w:rsidRPr="00DE0667" w:rsidRDefault="0055044E" w:rsidP="00C265B0">
      <w:pPr>
        <w:pStyle w:val="ListParagraph"/>
        <w:numPr>
          <w:ilvl w:val="0"/>
          <w:numId w:val="2"/>
        </w:numPr>
      </w:pPr>
      <w:r>
        <w:t>W</w:t>
      </w:r>
      <w:r w:rsidR="00CC14A5" w:rsidRPr="00DE0667">
        <w:t xml:space="preserve">ill </w:t>
      </w:r>
      <w:r w:rsidR="00E806F1" w:rsidRPr="00DE0667">
        <w:t>Brexit</w:t>
      </w:r>
      <w:r w:rsidR="00CC14A5" w:rsidRPr="00DE0667">
        <w:t xml:space="preserve"> affect juri</w:t>
      </w:r>
      <w:r w:rsidR="00A17F5A" w:rsidRPr="00DE0667">
        <w:t>sdiction clauses in contracts, c</w:t>
      </w:r>
      <w:r w:rsidR="00CC14A5" w:rsidRPr="00DE0667">
        <w:t xml:space="preserve">urrently </w:t>
      </w:r>
      <w:r w:rsidR="00A17F5A" w:rsidRPr="00DE0667">
        <w:t>governed by Rome I and Rome II?</w:t>
      </w:r>
      <w:r w:rsidR="00CE2C34" w:rsidRPr="00DE0667">
        <w:t xml:space="preserve"> </w:t>
      </w:r>
    </w:p>
    <w:p w:rsidR="00CC14A5" w:rsidRPr="00DE0667" w:rsidRDefault="0055044E" w:rsidP="00FE23BF">
      <w:pPr>
        <w:pStyle w:val="ListParagraph"/>
        <w:numPr>
          <w:ilvl w:val="0"/>
          <w:numId w:val="2"/>
        </w:numPr>
      </w:pPr>
      <w:r>
        <w:t>C</w:t>
      </w:r>
      <w:r w:rsidR="00FE23BF" w:rsidRPr="00DE0667">
        <w:t>ould</w:t>
      </w:r>
      <w:r w:rsidR="00CC14A5" w:rsidRPr="00DE0667">
        <w:t xml:space="preserve"> Brexit allow the early termination of contracts, for example through the activation of force majeure or material adverse change clauses, or through activating the doctrine of frustration?</w:t>
      </w:r>
    </w:p>
    <w:p w:rsidR="0019043F" w:rsidRPr="00DE0667" w:rsidRDefault="003275A2" w:rsidP="000E2BD6">
      <w:pPr>
        <w:rPr>
          <w:b/>
        </w:rPr>
      </w:pPr>
      <w:r w:rsidRPr="00DE0667">
        <w:rPr>
          <w:b/>
        </w:rPr>
        <w:t>Brexit</w:t>
      </w:r>
      <w:r w:rsidR="00E23C7F">
        <w:rPr>
          <w:b/>
        </w:rPr>
        <w:t xml:space="preserve"> and</w:t>
      </w:r>
      <w:r w:rsidRPr="00DE0667">
        <w:rPr>
          <w:b/>
        </w:rPr>
        <w:t xml:space="preserve"> </w:t>
      </w:r>
      <w:r w:rsidR="0019043F" w:rsidRPr="00DE0667">
        <w:rPr>
          <w:b/>
        </w:rPr>
        <w:t>Choice of Law</w:t>
      </w:r>
      <w:r w:rsidR="00E23C7F">
        <w:rPr>
          <w:b/>
        </w:rPr>
        <w:t xml:space="preserve"> </w:t>
      </w:r>
    </w:p>
    <w:p w:rsidR="00A07E47" w:rsidRPr="00DE0667" w:rsidRDefault="00300E8B" w:rsidP="000E2BD6">
      <w:r>
        <w:t xml:space="preserve">A choice of law clause states which law will apply to a contract. </w:t>
      </w:r>
      <w:r w:rsidR="001128B8">
        <w:t xml:space="preserve">For example, a contract for the provision of software services by a French business to a German business could specify that in the event of a dispute, </w:t>
      </w:r>
      <w:r w:rsidR="004B79D6">
        <w:t>English</w:t>
      </w:r>
      <w:r w:rsidR="001128B8">
        <w:t xml:space="preserve"> law would apply. Choice of laws clauses are</w:t>
      </w:r>
      <w:r>
        <w:t xml:space="preserve"> needed because, a</w:t>
      </w:r>
      <w:r w:rsidR="00666382" w:rsidRPr="00DE0667">
        <w:t>s Chitty explains, “a contract may be connected with several territorial jurisdictions because the parties to it reside in different countries, or because the contract is made in one country but is to be performed in a different country or concerns subject matter which is situated in a different country, or for other reasons.”</w:t>
      </w:r>
      <w:r w:rsidR="001038E1" w:rsidRPr="00DE0667">
        <w:rPr>
          <w:rStyle w:val="EndnoteReference"/>
        </w:rPr>
        <w:endnoteReference w:id="2"/>
      </w:r>
      <w:r w:rsidR="00666382" w:rsidRPr="00DE0667">
        <w:t xml:space="preserve"> </w:t>
      </w:r>
    </w:p>
    <w:p w:rsidR="00666382" w:rsidRPr="00DE0667" w:rsidRDefault="00300E8B" w:rsidP="000E2BD6">
      <w:r>
        <w:t>Frequently the choice of governing law is stipulated in a contract</w:t>
      </w:r>
      <w:r w:rsidR="00A07E47" w:rsidRPr="00DE0667">
        <w:t>. However, i</w:t>
      </w:r>
      <w:r w:rsidR="00666382" w:rsidRPr="00DE0667">
        <w:t xml:space="preserve">f no choice of law is </w:t>
      </w:r>
      <w:r w:rsidR="00EF1060">
        <w:t>stated</w:t>
      </w:r>
      <w:r w:rsidR="00666382" w:rsidRPr="00DE0667">
        <w:t xml:space="preserve">, the Rome </w:t>
      </w:r>
      <w:r w:rsidR="00B60276" w:rsidRPr="00DE0667">
        <w:t>I and Rom</w:t>
      </w:r>
      <w:r w:rsidR="0009587E" w:rsidRPr="00DE0667">
        <w:t>e</w:t>
      </w:r>
      <w:r w:rsidR="00B60276" w:rsidRPr="00DE0667">
        <w:t xml:space="preserve"> II Regulations</w:t>
      </w:r>
      <w:r w:rsidR="00EF1060">
        <w:t xml:space="preserve"> (the Regulations)</w:t>
      </w:r>
      <w:r w:rsidR="00B60276" w:rsidRPr="00DE0667">
        <w:t xml:space="preserve"> </w:t>
      </w:r>
      <w:r w:rsidR="00666382" w:rsidRPr="00DE0667">
        <w:t>appl</w:t>
      </w:r>
      <w:r w:rsidR="00B60276" w:rsidRPr="00DE0667">
        <w:t>y</w:t>
      </w:r>
      <w:r w:rsidR="00C77449">
        <w:t xml:space="preserve">, </w:t>
      </w:r>
      <w:r w:rsidR="0009587E" w:rsidRPr="00DE0667">
        <w:t>deal</w:t>
      </w:r>
      <w:r w:rsidR="00A07E47" w:rsidRPr="00DE0667">
        <w:t>ing</w:t>
      </w:r>
      <w:r w:rsidR="0009587E" w:rsidRPr="00DE0667">
        <w:t xml:space="preserve">, respectively, with contractual </w:t>
      </w:r>
      <w:r w:rsidR="00C77449">
        <w:t>and non-contractual obligations</w:t>
      </w:r>
      <w:r w:rsidR="005F3A07">
        <w:rPr>
          <w:rStyle w:val="EndnoteReference"/>
        </w:rPr>
        <w:endnoteReference w:id="3"/>
      </w:r>
      <w:r w:rsidR="00666382" w:rsidRPr="00DE0667">
        <w:t xml:space="preserve">. </w:t>
      </w:r>
      <w:r>
        <w:t>Through the Regulations, M</w:t>
      </w:r>
      <w:r w:rsidR="00B60276" w:rsidRPr="00DE0667">
        <w:t>ember State courts are required to respect party autonomy on choice of law. This means that they uphold</w:t>
      </w:r>
      <w:r>
        <w:t xml:space="preserve"> a</w:t>
      </w:r>
      <w:r w:rsidR="00B60276" w:rsidRPr="00DE0667">
        <w:t xml:space="preserve"> governing law clause</w:t>
      </w:r>
      <w:r>
        <w:t xml:space="preserve"> specifying the choice of law (say, English law)</w:t>
      </w:r>
      <w:r w:rsidR="00B60276" w:rsidRPr="00DE0667">
        <w:t xml:space="preserve"> subject onl</w:t>
      </w:r>
      <w:r>
        <w:t xml:space="preserve">y to certain limited exceptions, and they do so </w:t>
      </w:r>
      <w:r w:rsidR="00B60276" w:rsidRPr="00DE0667">
        <w:t>regardless of whet</w:t>
      </w:r>
      <w:r w:rsidR="00C77449">
        <w:t xml:space="preserve">her a party is located in the </w:t>
      </w:r>
      <w:r w:rsidR="000F3CA2">
        <w:t>EU</w:t>
      </w:r>
      <w:r w:rsidR="00B60276" w:rsidRPr="00DE0667">
        <w:t xml:space="preserve"> or whether the chosen law is the law of a Member State. </w:t>
      </w:r>
    </w:p>
    <w:p w:rsidR="00A07E47" w:rsidRPr="00DE0667" w:rsidRDefault="00B60276" w:rsidP="000E2BD6">
      <w:pPr>
        <w:rPr>
          <w:u w:val="single"/>
        </w:rPr>
      </w:pPr>
      <w:r w:rsidRPr="00DE0667">
        <w:rPr>
          <w:u w:val="single"/>
        </w:rPr>
        <w:lastRenderedPageBreak/>
        <w:t xml:space="preserve">What might change? </w:t>
      </w:r>
    </w:p>
    <w:p w:rsidR="00B60276" w:rsidRPr="00DE0667" w:rsidRDefault="00D45F5B" w:rsidP="000E2BD6">
      <w:r>
        <w:t xml:space="preserve">Following Brexit, </w:t>
      </w:r>
      <w:r w:rsidR="0009587E" w:rsidRPr="00DE0667">
        <w:t xml:space="preserve">Rome I and Rome II </w:t>
      </w:r>
      <w:r w:rsidR="00A21A34" w:rsidRPr="00DE0667">
        <w:t>w</w:t>
      </w:r>
      <w:r w:rsidR="006569F5">
        <w:t>ill cease to have e</w:t>
      </w:r>
      <w:r w:rsidR="00A21A34" w:rsidRPr="00DE0667">
        <w:t>ffect in</w:t>
      </w:r>
      <w:r w:rsidR="0009587E" w:rsidRPr="00DE0667">
        <w:t xml:space="preserve"> English courts. Commentators</w:t>
      </w:r>
      <w:r w:rsidR="00A21A34" w:rsidRPr="00DE0667">
        <w:t>’</w:t>
      </w:r>
      <w:r w:rsidR="0009587E" w:rsidRPr="00DE0667">
        <w:t xml:space="preserve"> opinions differ regarding </w:t>
      </w:r>
      <w:r w:rsidR="00830C5F">
        <w:t>their replacement</w:t>
      </w:r>
      <w:r w:rsidR="0009587E" w:rsidRPr="00DE0667">
        <w:t>. Sarah Garvey and Karen Birch consider it “almost inconceivable” that the English courts would change their general approac</w:t>
      </w:r>
      <w:r w:rsidR="00830C5F">
        <w:t>h to respecting a choice of law</w:t>
      </w:r>
      <w:r w:rsidR="005F3A07">
        <w:rPr>
          <w:rStyle w:val="EndnoteReference"/>
        </w:rPr>
        <w:endnoteReference w:id="4"/>
      </w:r>
      <w:r w:rsidR="0009587E" w:rsidRPr="00DE0667">
        <w:t xml:space="preserve">. </w:t>
      </w:r>
      <w:r w:rsidR="00A21A34" w:rsidRPr="00DE0667">
        <w:t xml:space="preserve">Sarah Speller considers the issue more complex, noting that even if the UK does reproduce Rome I and II within domestic legislation, the English courts would be the </w:t>
      </w:r>
      <w:r w:rsidR="00A07E47" w:rsidRPr="00DE0667">
        <w:t>“</w:t>
      </w:r>
      <w:r w:rsidR="00A21A34" w:rsidRPr="00DE0667">
        <w:t>final arbiter</w:t>
      </w:r>
      <w:r w:rsidR="00A07E47" w:rsidRPr="00DE0667">
        <w:t>”</w:t>
      </w:r>
      <w:r w:rsidR="00A21A34" w:rsidRPr="00DE0667">
        <w:t xml:space="preserve"> on interpretation rather than the Court of Justice which “may lead to a divergence in interpretation over time”</w:t>
      </w:r>
      <w:r w:rsidR="00D80ED7">
        <w:t>.</w:t>
      </w:r>
      <w:r w:rsidR="00A21A34" w:rsidRPr="00DE0667">
        <w:t xml:space="preserve"> </w:t>
      </w:r>
      <w:r w:rsidR="00A07E47" w:rsidRPr="00DE0667">
        <w:t>Speller</w:t>
      </w:r>
      <w:r w:rsidR="00A21A34" w:rsidRPr="00DE0667">
        <w:t xml:space="preserve"> posit</w:t>
      </w:r>
      <w:r w:rsidR="00A07E47" w:rsidRPr="00DE0667">
        <w:t>s</w:t>
      </w:r>
      <w:r w:rsidR="00A21A34" w:rsidRPr="00DE0667">
        <w:t xml:space="preserve"> the suggestion that “the Government could decide to draft something entirely new”</w:t>
      </w:r>
      <w:r w:rsidR="002C2FDE" w:rsidRPr="002C2FDE">
        <w:rPr>
          <w:rStyle w:val="EndnoteReference"/>
        </w:rPr>
        <w:t xml:space="preserve"> </w:t>
      </w:r>
      <w:r w:rsidR="002C2FDE">
        <w:rPr>
          <w:rStyle w:val="EndnoteReference"/>
        </w:rPr>
        <w:endnoteReference w:id="5"/>
      </w:r>
      <w:r w:rsidR="00A21A34" w:rsidRPr="00DE0667">
        <w:t>.</w:t>
      </w:r>
    </w:p>
    <w:p w:rsidR="004C0B8F" w:rsidRPr="00DE0667" w:rsidRDefault="00300E8B" w:rsidP="000E2BD6">
      <w:r>
        <w:t xml:space="preserve">Whether </w:t>
      </w:r>
      <w:r w:rsidR="00A07E47" w:rsidRPr="00DE0667">
        <w:t xml:space="preserve">parties </w:t>
      </w:r>
      <w:r>
        <w:t xml:space="preserve">will </w:t>
      </w:r>
      <w:r w:rsidR="00A07E47" w:rsidRPr="00DE0667">
        <w:t xml:space="preserve">be less likely to </w:t>
      </w:r>
      <w:r w:rsidR="00CE6323" w:rsidRPr="00DE0667">
        <w:t>stipulate</w:t>
      </w:r>
      <w:r w:rsidR="00A07E47" w:rsidRPr="00DE0667">
        <w:t xml:space="preserve"> English law as the governing law for their contract</w:t>
      </w:r>
      <w:r w:rsidR="00CE6323" w:rsidRPr="00DE0667">
        <w:t xml:space="preserve"> in a cross-border commercial contract</w:t>
      </w:r>
      <w:r>
        <w:t xml:space="preserve"> remains to be s</w:t>
      </w:r>
      <w:r w:rsidR="00A07E47" w:rsidRPr="00DE0667">
        <w:t xml:space="preserve">een. English law is currently a popular choice of law for parties to </w:t>
      </w:r>
      <w:r w:rsidR="00CE6323" w:rsidRPr="00DE0667">
        <w:t>such</w:t>
      </w:r>
      <w:r w:rsidR="00A07E47" w:rsidRPr="00DE0667">
        <w:t xml:space="preserve"> contracts worldwide</w:t>
      </w:r>
      <w:r w:rsidR="00A07E47" w:rsidRPr="00DE0667">
        <w:rPr>
          <w:rStyle w:val="EndnoteReference"/>
        </w:rPr>
        <w:endnoteReference w:id="6"/>
      </w:r>
      <w:r w:rsidR="004C0B8F" w:rsidRPr="00DE0667">
        <w:t xml:space="preserve">. </w:t>
      </w:r>
      <w:r w:rsidR="00CE6323" w:rsidRPr="00DE0667">
        <w:t xml:space="preserve"> Ha</w:t>
      </w:r>
      <w:r w:rsidR="00D41773">
        <w:t>r</w:t>
      </w:r>
      <w:r w:rsidR="00CE6323" w:rsidRPr="00DE0667">
        <w:t xml:space="preserve">vey and Birch outline </w:t>
      </w:r>
      <w:r w:rsidR="004C0B8F" w:rsidRPr="00DE0667">
        <w:t>various reasons</w:t>
      </w:r>
      <w:r w:rsidR="00CE6323" w:rsidRPr="00DE0667">
        <w:t xml:space="preserve"> for this</w:t>
      </w:r>
      <w:r w:rsidR="00D41773">
        <w:rPr>
          <w:rStyle w:val="EndnoteReference"/>
        </w:rPr>
        <w:endnoteReference w:id="7"/>
      </w:r>
      <w:r w:rsidR="004C0B8F" w:rsidRPr="00DE0667">
        <w:t>. English law is</w:t>
      </w:r>
      <w:r w:rsidR="00864A6A" w:rsidRPr="00DE0667">
        <w:t xml:space="preserve"> comparatively stable and offers comparative commercial </w:t>
      </w:r>
      <w:r w:rsidR="004C0B8F" w:rsidRPr="00DE0667">
        <w:t xml:space="preserve">certainty. </w:t>
      </w:r>
      <w:r w:rsidR="00EF1060">
        <w:t>It</w:t>
      </w:r>
      <w:r w:rsidR="00864A6A" w:rsidRPr="00DE0667">
        <w:t xml:space="preserve"> </w:t>
      </w:r>
      <w:r w:rsidR="004C0B8F" w:rsidRPr="00DE0667">
        <w:t xml:space="preserve">generally gives effect to the contractual bargain agreed: see for example the English courts’ decision to enforce strictly the commercial terms of the bargain rather than a </w:t>
      </w:r>
      <w:r w:rsidR="00864A6A" w:rsidRPr="00DE0667">
        <w:t>“</w:t>
      </w:r>
      <w:r w:rsidR="004C0B8F" w:rsidRPr="00DE0667">
        <w:t>good faith” requirement</w:t>
      </w:r>
      <w:r w:rsidR="00D7083B">
        <w:t xml:space="preserve">: rejecting the judgment of </w:t>
      </w:r>
      <w:r w:rsidR="00D7083B" w:rsidRPr="00775244">
        <w:rPr>
          <w:i/>
        </w:rPr>
        <w:t>Yam Seng Pte Ltd v International Trade Corp Ltd</w:t>
      </w:r>
      <w:r w:rsidR="00D7083B">
        <w:rPr>
          <w:rStyle w:val="EndnoteReference"/>
        </w:rPr>
        <w:t xml:space="preserve"> </w:t>
      </w:r>
      <w:r w:rsidR="00775244">
        <w:rPr>
          <w:rStyle w:val="EndnoteReference"/>
        </w:rPr>
        <w:endnoteReference w:id="8"/>
      </w:r>
      <w:r w:rsidR="004C0B8F" w:rsidRPr="00DE0667">
        <w:t xml:space="preserve">. </w:t>
      </w:r>
      <w:r w:rsidR="00864A6A" w:rsidRPr="00DE0667">
        <w:t xml:space="preserve">The common law system allows flexibility and evolution, as judge-made decisions can potentially reflect economic technological and social changes. </w:t>
      </w:r>
      <w:r w:rsidR="00EF1060">
        <w:t>Additionally,</w:t>
      </w:r>
      <w:r w:rsidR="00125C93" w:rsidRPr="00DE0667">
        <w:t xml:space="preserve"> a</w:t>
      </w:r>
      <w:r w:rsidR="00864A6A" w:rsidRPr="00DE0667">
        <w:t xml:space="preserve"> choice of English law facilitates contracting in the English language and allows parties to access a mature legal services market. </w:t>
      </w:r>
    </w:p>
    <w:p w:rsidR="00864A6A" w:rsidRPr="00DE0667" w:rsidRDefault="00864A6A" w:rsidP="000E2BD6">
      <w:r w:rsidRPr="00DE0667">
        <w:t xml:space="preserve">All of that said, </w:t>
      </w:r>
      <w:r w:rsidR="00125C93" w:rsidRPr="00DE0667">
        <w:t>should</w:t>
      </w:r>
      <w:r w:rsidRPr="00DE0667">
        <w:t xml:space="preserve"> European and English law </w:t>
      </w:r>
      <w:r w:rsidR="009E0069" w:rsidRPr="00DE0667">
        <w:t xml:space="preserve">diverge following Brexit, will those advantages </w:t>
      </w:r>
      <w:r w:rsidR="00125C93" w:rsidRPr="00DE0667">
        <w:t xml:space="preserve">be </w:t>
      </w:r>
      <w:r w:rsidR="009E0069" w:rsidRPr="00DE0667">
        <w:t>erode</w:t>
      </w:r>
      <w:r w:rsidR="00125C93" w:rsidRPr="00DE0667">
        <w:t>d</w:t>
      </w:r>
      <w:r w:rsidR="009E0069" w:rsidRPr="00DE0667">
        <w:t xml:space="preserve">? With such divergence, </w:t>
      </w:r>
      <w:r w:rsidR="00CB7B73">
        <w:t>whether</w:t>
      </w:r>
      <w:r w:rsidR="009E0069" w:rsidRPr="00DE0667">
        <w:t xml:space="preserve"> </w:t>
      </w:r>
      <w:r w:rsidR="00823615">
        <w:t>English law</w:t>
      </w:r>
      <w:r w:rsidR="00CB7B73">
        <w:t xml:space="preserve"> will </w:t>
      </w:r>
      <w:r w:rsidR="009E0069" w:rsidRPr="00DE0667">
        <w:t xml:space="preserve">continue to be adopted </w:t>
      </w:r>
      <w:r w:rsidR="00CB7B73">
        <w:t xml:space="preserve">as enthusiastically in cross-border contracts remains to be seen. </w:t>
      </w:r>
      <w:r w:rsidR="00A46A57">
        <w:t>To expect</w:t>
      </w:r>
      <w:r w:rsidR="009E0069" w:rsidRPr="00DE0667">
        <w:t xml:space="preserve"> no impact would seem optimistic.</w:t>
      </w:r>
    </w:p>
    <w:p w:rsidR="0019043F" w:rsidRPr="00DE0667" w:rsidRDefault="00B01551" w:rsidP="000E2BD6">
      <w:pPr>
        <w:rPr>
          <w:b/>
        </w:rPr>
      </w:pPr>
      <w:r>
        <w:rPr>
          <w:b/>
        </w:rPr>
        <w:t xml:space="preserve">Brexit and </w:t>
      </w:r>
      <w:r w:rsidR="0019043F" w:rsidRPr="00DE0667">
        <w:rPr>
          <w:b/>
        </w:rPr>
        <w:t>Jurisdiction</w:t>
      </w:r>
    </w:p>
    <w:p w:rsidR="001128B8" w:rsidRDefault="00C8506B" w:rsidP="000E2BD6">
      <w:r>
        <w:t xml:space="preserve">Jurisdiction clauses usually sit </w:t>
      </w:r>
      <w:r w:rsidR="00A043E9">
        <w:t>with</w:t>
      </w:r>
      <w:r>
        <w:t xml:space="preserve"> governing law</w:t>
      </w:r>
      <w:r w:rsidR="005C13DA">
        <w:t xml:space="preserve"> clauses</w:t>
      </w:r>
      <w:r>
        <w:t xml:space="preserve"> in a contract. </w:t>
      </w:r>
      <w:r w:rsidR="0024180F" w:rsidRPr="0024180F">
        <w:t xml:space="preserve">A jurisdiction clause specifies that any disputes arising under that contract should be determined by a particular national court. </w:t>
      </w:r>
      <w:r w:rsidR="005C13DA">
        <w:t xml:space="preserve">Jurisdiction clauses are commonly included in cross-border contracts and currently English jurisdiction is a popular choice. For example, a contract for the supply of bananas from Costa Rica to Germany might feasibly specify that if a dispute arises it would be heard by English Courts. </w:t>
      </w:r>
    </w:p>
    <w:p w:rsidR="00900958" w:rsidRDefault="00C8506B" w:rsidP="000E2BD6">
      <w:r>
        <w:t>Choice of court is crucial in a</w:t>
      </w:r>
      <w:r w:rsidR="00DB2E93">
        <w:t xml:space="preserve"> cross-border</w:t>
      </w:r>
      <w:r>
        <w:t xml:space="preserve"> commercial dispute, impacting the length and therefore cost of proceedings as well as the reliability and enforceability of </w:t>
      </w:r>
      <w:r w:rsidR="00DB2E93">
        <w:t xml:space="preserve">any </w:t>
      </w:r>
      <w:r>
        <w:t>resulting judgment</w:t>
      </w:r>
      <w:r w:rsidR="0046719F">
        <w:rPr>
          <w:rStyle w:val="EndnoteReference"/>
        </w:rPr>
        <w:endnoteReference w:id="9"/>
      </w:r>
      <w:r>
        <w:t xml:space="preserve">. </w:t>
      </w:r>
      <w:r w:rsidR="00900958">
        <w:t>Rules governing jurisdiction and enforcement of judgments are set out in the Recast Brussels Regulation EU 1215/2015</w:t>
      </w:r>
      <w:r w:rsidR="00627A39">
        <w:t xml:space="preserve"> (the Recast)</w:t>
      </w:r>
      <w:r w:rsidR="00DB2E93">
        <w:rPr>
          <w:rStyle w:val="EndnoteReference"/>
        </w:rPr>
        <w:endnoteReference w:id="10"/>
      </w:r>
      <w:r w:rsidR="00900958">
        <w:t xml:space="preserve">. Essentially, these rules provide that party autonomy in commercial contracts is largely respected; and that Member State courts must recognise and enforce commercial judgments given in other Member States, subject to limited exceptions. </w:t>
      </w:r>
      <w:r w:rsidR="00187E15">
        <w:t>The Court of Justice of the EU oversees the application of these rules.</w:t>
      </w:r>
    </w:p>
    <w:p w:rsidR="006F1886" w:rsidRDefault="00900958" w:rsidP="000E2BD6">
      <w:r>
        <w:t xml:space="preserve">The rules on jurisdiction </w:t>
      </w:r>
      <w:r w:rsidR="007F3534">
        <w:t>have been</w:t>
      </w:r>
      <w:r w:rsidR="003D154A">
        <w:t xml:space="preserve"> seen as</w:t>
      </w:r>
      <w:r>
        <w:t xml:space="preserve"> one of the success stories of legal harmonisation</w:t>
      </w:r>
      <w:r w:rsidR="00627A39">
        <w:t>, providing</w:t>
      </w:r>
      <w:r w:rsidR="00187E15">
        <w:t xml:space="preserve"> </w:t>
      </w:r>
      <w:r w:rsidR="00C8506B">
        <w:t>certainty and allow</w:t>
      </w:r>
      <w:r w:rsidR="00627A39">
        <w:t>ing</w:t>
      </w:r>
      <w:r w:rsidR="00187E15">
        <w:t xml:space="preserve"> the</w:t>
      </w:r>
      <w:r w:rsidR="00C8506B">
        <w:t xml:space="preserve"> parties to</w:t>
      </w:r>
      <w:r w:rsidR="00627A39">
        <w:t xml:space="preserve"> a commercial contract to</w:t>
      </w:r>
      <w:r w:rsidR="00C8506B">
        <w:t xml:space="preserve"> build the risk and costs of potential litigation into </w:t>
      </w:r>
      <w:r w:rsidR="00627A39">
        <w:t>their deal</w:t>
      </w:r>
      <w:r w:rsidR="00074207">
        <w:rPr>
          <w:rStyle w:val="EndnoteReference"/>
        </w:rPr>
        <w:endnoteReference w:id="11"/>
      </w:r>
      <w:r w:rsidR="00C8506B">
        <w:t xml:space="preserve">. </w:t>
      </w:r>
    </w:p>
    <w:p w:rsidR="003D154A" w:rsidRDefault="00E23C7F" w:rsidP="000E2BD6">
      <w:r>
        <w:rPr>
          <w:u w:val="single"/>
        </w:rPr>
        <w:t>W</w:t>
      </w:r>
      <w:r w:rsidR="00627A39" w:rsidRPr="00627A39">
        <w:rPr>
          <w:u w:val="single"/>
        </w:rPr>
        <w:t>hat might change?</w:t>
      </w:r>
      <w:r w:rsidR="00627A39">
        <w:t xml:space="preserve"> </w:t>
      </w:r>
    </w:p>
    <w:p w:rsidR="00C9333D" w:rsidRDefault="00187E15" w:rsidP="000E2BD6">
      <w:r>
        <w:t>It is theoretically possible that the UK and EU will agree that the Recast will continue to apply on Brexit. That said, as Harvey and Birch note, “it is unlikely that the status quo on jurisdiction and enforcement will remain entirely unchanged”</w:t>
      </w:r>
      <w:r w:rsidR="008603C1">
        <w:rPr>
          <w:rStyle w:val="EndnoteReference"/>
        </w:rPr>
        <w:endnoteReference w:id="12"/>
      </w:r>
      <w:r>
        <w:t xml:space="preserve">. </w:t>
      </w:r>
    </w:p>
    <w:p w:rsidR="002F660C" w:rsidRDefault="008C53B2" w:rsidP="000E2BD6">
      <w:r>
        <w:lastRenderedPageBreak/>
        <w:t xml:space="preserve">One of the reasons </w:t>
      </w:r>
      <w:r w:rsidR="00C65A53">
        <w:t xml:space="preserve">for this </w:t>
      </w:r>
      <w:r w:rsidR="00187E15">
        <w:t xml:space="preserve">Birch and Harvey highlight </w:t>
      </w:r>
      <w:r>
        <w:t xml:space="preserve">is that </w:t>
      </w:r>
      <w:r w:rsidR="00187E15">
        <w:t xml:space="preserve">the </w:t>
      </w:r>
      <w:r w:rsidR="002F660C">
        <w:t xml:space="preserve">Recast regime is based on a reciprocal system. But it would not be possible for the UK to act unilaterally on Brexit to adopt legislation that has the same effect as the Recast. </w:t>
      </w:r>
      <w:r w:rsidR="002F7968">
        <w:t>W</w:t>
      </w:r>
      <w:r w:rsidR="002F660C">
        <w:t xml:space="preserve">hilst the UK could impose obligations on its </w:t>
      </w:r>
      <w:r w:rsidR="002F660C" w:rsidRPr="002F660C">
        <w:rPr>
          <w:b/>
          <w:i/>
        </w:rPr>
        <w:t>own</w:t>
      </w:r>
      <w:r w:rsidR="002F660C">
        <w:t xml:space="preserve"> courts to give effect to jurisdiction agreements in favour of courts within the Member States, and for its </w:t>
      </w:r>
      <w:r w:rsidR="002F660C" w:rsidRPr="002F7968">
        <w:rPr>
          <w:b/>
          <w:i/>
        </w:rPr>
        <w:t>own</w:t>
      </w:r>
      <w:r w:rsidR="002F660C">
        <w:t xml:space="preserve"> courts to recognise and enfo</w:t>
      </w:r>
      <w:r w:rsidR="00C9333D">
        <w:t>r</w:t>
      </w:r>
      <w:r w:rsidR="002F660C">
        <w:t xml:space="preserve">ce judgments given in other Member States, the same obligations could not be </w:t>
      </w:r>
      <w:r w:rsidR="002F660C" w:rsidRPr="003D154A">
        <w:t>imposed on</w:t>
      </w:r>
      <w:r w:rsidR="002F660C" w:rsidRPr="003D154A">
        <w:rPr>
          <w:b/>
          <w:i/>
        </w:rPr>
        <w:t xml:space="preserve"> other</w:t>
      </w:r>
      <w:r w:rsidR="003D154A">
        <w:t xml:space="preserve"> courts without the</w:t>
      </w:r>
      <w:r w:rsidR="002F660C">
        <w:t xml:space="preserve"> agreement</w:t>
      </w:r>
      <w:r w:rsidR="003D154A">
        <w:t xml:space="preserve"> of those courts</w:t>
      </w:r>
      <w:r w:rsidR="00F925FA">
        <w:rPr>
          <w:rStyle w:val="EndnoteReference"/>
        </w:rPr>
        <w:endnoteReference w:id="13"/>
      </w:r>
      <w:r w:rsidR="002F660C">
        <w:t>.</w:t>
      </w:r>
    </w:p>
    <w:p w:rsidR="00187E15" w:rsidRDefault="00C9333D" w:rsidP="000E2BD6">
      <w:r>
        <w:t xml:space="preserve">Would other Member States </w:t>
      </w:r>
      <w:r w:rsidR="00A67076">
        <w:t xml:space="preserve">sign up to </w:t>
      </w:r>
      <w:r w:rsidR="002B7F47">
        <w:t>enforce the judgments of the English courts</w:t>
      </w:r>
      <w:r w:rsidR="00A67076">
        <w:t xml:space="preserve"> voluntarily? Arguably </w:t>
      </w:r>
      <w:r w:rsidR="002F660C">
        <w:t xml:space="preserve">“agreeing to a reciprocal regime on jurisdiction and enforcement post-Brexit” </w:t>
      </w:r>
      <w:r w:rsidR="00A67076">
        <w:t>would</w:t>
      </w:r>
      <w:r w:rsidR="002F660C">
        <w:t xml:space="preserve"> be “way down” the Member States’ list of priorities</w:t>
      </w:r>
      <w:r w:rsidR="00A67076">
        <w:rPr>
          <w:rStyle w:val="EndnoteReference"/>
        </w:rPr>
        <w:endnoteReference w:id="14"/>
      </w:r>
      <w:r w:rsidR="002F660C">
        <w:t xml:space="preserve">. </w:t>
      </w:r>
    </w:p>
    <w:p w:rsidR="00187E15" w:rsidRDefault="00770C1B" w:rsidP="002F22C8">
      <w:r>
        <w:t>The alternatives to the Recast for the UK are complex</w:t>
      </w:r>
      <w:r w:rsidR="009831A5">
        <w:t xml:space="preserve"> and cannot be explained </w:t>
      </w:r>
      <w:r w:rsidR="00466CC3">
        <w:t xml:space="preserve">fully </w:t>
      </w:r>
      <w:r w:rsidR="009831A5">
        <w:t>here</w:t>
      </w:r>
      <w:r>
        <w:t>.</w:t>
      </w:r>
      <w:r w:rsidR="009831A5">
        <w:t xml:space="preserve"> If the “status quo” is changed, t</w:t>
      </w:r>
      <w:r w:rsidR="003D154A">
        <w:t>he UK might rely on the Lugano Convention or the Hague Convention on Choice of Court Agreements 2005 (entered into by the EU, other than Denmark, and Mexico</w:t>
      </w:r>
      <w:r w:rsidR="009831A5">
        <w:t>).</w:t>
      </w:r>
    </w:p>
    <w:p w:rsidR="000E2BD6" w:rsidRPr="00DE0667" w:rsidRDefault="003275A2">
      <w:pPr>
        <w:rPr>
          <w:b/>
        </w:rPr>
      </w:pPr>
      <w:r w:rsidRPr="00DE0667">
        <w:rPr>
          <w:b/>
        </w:rPr>
        <w:t>B</w:t>
      </w:r>
      <w:r w:rsidR="00B01551">
        <w:rPr>
          <w:b/>
        </w:rPr>
        <w:t>rexit and e</w:t>
      </w:r>
      <w:r w:rsidRPr="00DE0667">
        <w:rPr>
          <w:b/>
        </w:rPr>
        <w:t>arly termination of contract</w:t>
      </w:r>
    </w:p>
    <w:p w:rsidR="00B15E60" w:rsidRDefault="00B15E60" w:rsidP="00C5262C">
      <w:r>
        <w:t xml:space="preserve">The third focus of this article is whether Brexit may be used to terminate a contract early. </w:t>
      </w:r>
    </w:p>
    <w:p w:rsidR="003C4E5A" w:rsidRPr="00DE0667" w:rsidRDefault="003C4E5A" w:rsidP="00C5262C">
      <w:r w:rsidRPr="00DE0667">
        <w:t xml:space="preserve">Clearly if a contract is terminable on notice, one of the parties may seek to terminate it at any time. </w:t>
      </w:r>
      <w:r w:rsidR="00B15E60">
        <w:t xml:space="preserve">So, if one party enters into </w:t>
      </w:r>
      <w:r w:rsidR="00FD0B14">
        <w:t>an</w:t>
      </w:r>
      <w:r w:rsidRPr="00DE0667">
        <w:t xml:space="preserve"> agreement for, say, the purchase of fabric</w:t>
      </w:r>
      <w:r w:rsidR="00B15E60">
        <w:t xml:space="preserve"> on a weekly basis</w:t>
      </w:r>
      <w:r w:rsidRPr="00DE0667">
        <w:t xml:space="preserve"> for three years, but with a three month notice period which can be activated at any time, the party effectively only has the security of a three month contract</w:t>
      </w:r>
      <w:r w:rsidR="00B15E60">
        <w:t xml:space="preserve">. </w:t>
      </w:r>
      <w:r w:rsidR="00FD0B14">
        <w:t>Consequently, o</w:t>
      </w:r>
      <w:r w:rsidR="00B15E60">
        <w:t>ne of the parties</w:t>
      </w:r>
      <w:r w:rsidRPr="00DE0667">
        <w:t xml:space="preserve"> could choose to leave if they felt that, say, the contract was </w:t>
      </w:r>
      <w:r w:rsidR="000A42D1">
        <w:t>no longer</w:t>
      </w:r>
      <w:r w:rsidRPr="00DE0667">
        <w:t xml:space="preserve"> economically viable (</w:t>
      </w:r>
      <w:r w:rsidR="000A42D1">
        <w:t>following the introduction of</w:t>
      </w:r>
      <w:r w:rsidR="00B15E60">
        <w:t xml:space="preserve"> trade</w:t>
      </w:r>
      <w:r w:rsidRPr="00DE0667">
        <w:t xml:space="preserve"> tariffs, for example). </w:t>
      </w:r>
    </w:p>
    <w:p w:rsidR="006033CC" w:rsidRPr="00DE0667" w:rsidRDefault="003C4E5A" w:rsidP="00C5262C">
      <w:r w:rsidRPr="00DE0667">
        <w:t>However if a</w:t>
      </w:r>
      <w:r w:rsidR="008B2AD4" w:rsidRPr="00DE0667">
        <w:t xml:space="preserve"> contract </w:t>
      </w:r>
      <w:r w:rsidRPr="00DE0667">
        <w:t xml:space="preserve">is </w:t>
      </w:r>
      <w:r w:rsidR="008B2AD4" w:rsidRPr="00DE0667">
        <w:t>not terminable on notice</w:t>
      </w:r>
      <w:r w:rsidRPr="00DE0667">
        <w:t xml:space="preserve">, could it </w:t>
      </w:r>
      <w:r w:rsidR="006033CC" w:rsidRPr="00DE0667">
        <w:t xml:space="preserve">be terminated </w:t>
      </w:r>
      <w:r w:rsidRPr="00DE0667">
        <w:t xml:space="preserve">by Brexit? Possibly, </w:t>
      </w:r>
      <w:r w:rsidR="00D75453">
        <w:t>depending on</w:t>
      </w:r>
      <w:r w:rsidR="007D4CAE">
        <w:t xml:space="preserve"> the wording of the relevant contract’s</w:t>
      </w:r>
      <w:r w:rsidR="006033CC" w:rsidRPr="00DE0667">
        <w:t xml:space="preserve"> </w:t>
      </w:r>
      <w:r w:rsidR="006033CC" w:rsidRPr="001E5F78">
        <w:rPr>
          <w:b/>
        </w:rPr>
        <w:t>material adverse change</w:t>
      </w:r>
      <w:r w:rsidR="006033CC" w:rsidRPr="00DE0667">
        <w:t xml:space="preserve"> clause or </w:t>
      </w:r>
      <w:r w:rsidR="006033CC" w:rsidRPr="001E5F78">
        <w:rPr>
          <w:b/>
        </w:rPr>
        <w:t xml:space="preserve">force majeure </w:t>
      </w:r>
      <w:r w:rsidR="006033CC" w:rsidRPr="006E4995">
        <w:t>clause</w:t>
      </w:r>
      <w:r w:rsidR="00D75453">
        <w:t xml:space="preserve">. </w:t>
      </w:r>
      <w:r w:rsidR="006033CC" w:rsidRPr="00DE0667">
        <w:t xml:space="preserve">If </w:t>
      </w:r>
      <w:r w:rsidR="00677D5E">
        <w:t>such a clause is drafted to allow</w:t>
      </w:r>
      <w:r w:rsidR="006033CC" w:rsidRPr="00DE0667">
        <w:t xml:space="preserve"> termination in the event of significant regulatory change, for example, </w:t>
      </w:r>
      <w:r w:rsidR="00F42964">
        <w:t>then the clause c</w:t>
      </w:r>
      <w:r w:rsidR="006033CC" w:rsidRPr="00DE0667">
        <w:t xml:space="preserve">ould </w:t>
      </w:r>
      <w:r w:rsidR="00550222">
        <w:t>take effect</w:t>
      </w:r>
      <w:r w:rsidR="006033CC" w:rsidRPr="00DE0667">
        <w:t>.</w:t>
      </w:r>
    </w:p>
    <w:p w:rsidR="00F00AFD" w:rsidRDefault="006033CC" w:rsidP="00C5262C">
      <w:r w:rsidRPr="00DE0667">
        <w:t xml:space="preserve">Some have queried whether </w:t>
      </w:r>
      <w:r w:rsidR="00A55537" w:rsidRPr="00DE0667">
        <w:t>a</w:t>
      </w:r>
      <w:r w:rsidRPr="00DE0667">
        <w:t xml:space="preserve"> contract </w:t>
      </w:r>
      <w:r w:rsidR="00A55537" w:rsidRPr="00DE0667">
        <w:t xml:space="preserve">which becomes more expensive as a consequence of Brexit </w:t>
      </w:r>
      <w:r w:rsidRPr="00DE0667">
        <w:t xml:space="preserve">has been </w:t>
      </w:r>
      <w:r w:rsidRPr="008C3190">
        <w:rPr>
          <w:b/>
        </w:rPr>
        <w:t>frustrated</w:t>
      </w:r>
      <w:r w:rsidR="00A906AC">
        <w:rPr>
          <w:rStyle w:val="EndnoteReference"/>
          <w:b/>
        </w:rPr>
        <w:endnoteReference w:id="15"/>
      </w:r>
      <w:r w:rsidR="00A55537" w:rsidRPr="00DE0667">
        <w:t>. Essentially, a frustrating event is one which makes a</w:t>
      </w:r>
      <w:r w:rsidR="00A55537">
        <w:t xml:space="preserve"> </w:t>
      </w:r>
      <w:r w:rsidR="00A55537" w:rsidRPr="00CE6603">
        <w:t xml:space="preserve">contract impossible to perform, and </w:t>
      </w:r>
      <w:r w:rsidR="00CA2F4A">
        <w:t xml:space="preserve">which </w:t>
      </w:r>
      <w:r w:rsidR="00A55537" w:rsidRPr="00CE6603">
        <w:t xml:space="preserve">leads to a radical change in the obligations of the parties. It may be hard to remember the pronunciation of </w:t>
      </w:r>
      <w:r w:rsidR="00A55537" w:rsidRPr="00CE6603">
        <w:rPr>
          <w:bCs/>
          <w:i/>
          <w:iCs/>
        </w:rPr>
        <w:t>Tsakiroglou &amp; Co Ltd v Noblee Thorl GmbH</w:t>
      </w:r>
      <w:r w:rsidR="00A55537" w:rsidRPr="00CE6603">
        <w:rPr>
          <w:bCs/>
        </w:rPr>
        <w:t> [1962] AC 93</w:t>
      </w:r>
      <w:r w:rsidR="00193109">
        <w:rPr>
          <w:bCs/>
        </w:rPr>
        <w:t>. H</w:t>
      </w:r>
      <w:r w:rsidR="00A55537" w:rsidRPr="00CE6603">
        <w:rPr>
          <w:bCs/>
        </w:rPr>
        <w:t>owever the case itself is</w:t>
      </w:r>
      <w:r w:rsidR="00CE6603" w:rsidRPr="00CE6603">
        <w:rPr>
          <w:bCs/>
        </w:rPr>
        <w:t xml:space="preserve"> memorable, involv</w:t>
      </w:r>
      <w:r w:rsidR="00A55537" w:rsidRPr="00CE6603">
        <w:rPr>
          <w:bCs/>
        </w:rPr>
        <w:t>ing as it does</w:t>
      </w:r>
      <w:r w:rsidR="003A27C3">
        <w:rPr>
          <w:bCs/>
        </w:rPr>
        <w:t xml:space="preserve"> a</w:t>
      </w:r>
      <w:r w:rsidR="00F00AFD">
        <w:rPr>
          <w:bCs/>
        </w:rPr>
        <w:t xml:space="preserve"> </w:t>
      </w:r>
      <w:r w:rsidR="003A27C3">
        <w:rPr>
          <w:bCs/>
        </w:rPr>
        <w:t>mixture of House of Lords judgment,</w:t>
      </w:r>
      <w:r w:rsidR="00A55537" w:rsidRPr="00CE6603">
        <w:rPr>
          <w:bCs/>
        </w:rPr>
        <w:t xml:space="preserve"> peanuts and the Suez Crisis. In this case, the </w:t>
      </w:r>
      <w:r w:rsidR="00A55537" w:rsidRPr="00CE6603">
        <w:t xml:space="preserve">defendant agreed to ship Sudanese peanuts to Hamburg for a certain price. However </w:t>
      </w:r>
      <w:r w:rsidR="00CE6603" w:rsidRPr="00CE6603">
        <w:t xml:space="preserve">it was 1956, and before the contract had been performed (and the peanuts delivered) </w:t>
      </w:r>
      <w:r w:rsidR="00F00AFD">
        <w:t>the Suez C</w:t>
      </w:r>
      <w:r w:rsidR="00A55537" w:rsidRPr="00CE6603">
        <w:t xml:space="preserve">anal was closed as a consequence of the Suez Crisis. </w:t>
      </w:r>
    </w:p>
    <w:p w:rsidR="006E4995" w:rsidRDefault="00A55537" w:rsidP="00C5262C">
      <w:r w:rsidRPr="00CE6603">
        <w:t xml:space="preserve">The defendant </w:t>
      </w:r>
      <w:r w:rsidR="00A73614">
        <w:t xml:space="preserve">(contracted to deliver the peanuts) </w:t>
      </w:r>
      <w:r w:rsidR="00CE6603" w:rsidRPr="00CE6603">
        <w:t>argued that the contract was frustrated</w:t>
      </w:r>
      <w:r w:rsidR="00A73614">
        <w:t xml:space="preserve"> by the new difficulty of </w:t>
      </w:r>
      <w:r w:rsidR="00CA2F4A">
        <w:t>transportation/delivery</w:t>
      </w:r>
      <w:r w:rsidR="00A73614">
        <w:t>. The defendant</w:t>
      </w:r>
      <w:r w:rsidR="00CE6603" w:rsidRPr="00CE6603">
        <w:t xml:space="preserve"> </w:t>
      </w:r>
      <w:r w:rsidRPr="00F53F27">
        <w:rPr>
          <w:b/>
          <w:i/>
        </w:rPr>
        <w:t>was</w:t>
      </w:r>
      <w:r w:rsidRPr="00CE6603">
        <w:t xml:space="preserve"> able to transport the peanuts within the contractually agreed time - but this would mean going via the Cape of Good Hope</w:t>
      </w:r>
      <w:r w:rsidR="003A27C3">
        <w:t>,</w:t>
      </w:r>
      <w:r w:rsidRPr="00A55537">
        <w:t xml:space="preserve"> which would have taken </w:t>
      </w:r>
      <w:r w:rsidRPr="00A73614">
        <w:t>four times</w:t>
      </w:r>
      <w:r w:rsidRPr="00A55537">
        <w:t xml:space="preserve"> as long and</w:t>
      </w:r>
      <w:r w:rsidR="00CE6603">
        <w:t xml:space="preserve"> so</w:t>
      </w:r>
      <w:r w:rsidRPr="00A55537">
        <w:t xml:space="preserve"> increased the cost of transport considerably. </w:t>
      </w:r>
    </w:p>
    <w:p w:rsidR="006E4995" w:rsidRDefault="006E4995" w:rsidP="00C5262C">
      <w:r>
        <w:t>The H</w:t>
      </w:r>
      <w:r w:rsidR="003A27C3">
        <w:t xml:space="preserve">ouse of Lords held that the </w:t>
      </w:r>
      <w:r w:rsidR="00A73614">
        <w:t xml:space="preserve">decision </w:t>
      </w:r>
      <w:r>
        <w:t xml:space="preserve">that the contract should be performed, first made by an arbitrator, </w:t>
      </w:r>
      <w:r w:rsidR="003A27C3">
        <w:t xml:space="preserve">was valid and should be upheld: the contract was not frustrated. </w:t>
      </w:r>
    </w:p>
    <w:p w:rsidR="00CE2C34" w:rsidRDefault="003A27C3" w:rsidP="00C5262C">
      <w:r>
        <w:t>In the light of this</w:t>
      </w:r>
      <w:r w:rsidR="006E4995">
        <w:t xml:space="preserve"> judgment,</w:t>
      </w:r>
      <w:r>
        <w:t xml:space="preserve"> it seems improbable that a contract </w:t>
      </w:r>
      <w:r w:rsidR="006E4995">
        <w:t>will be frustrated because as a result of Brexit</w:t>
      </w:r>
      <w:r>
        <w:t xml:space="preserve">.  </w:t>
      </w:r>
    </w:p>
    <w:p w:rsidR="00CB0DEB" w:rsidRDefault="00CB0DEB" w:rsidP="000B6F98">
      <w:pPr>
        <w:rPr>
          <w:b/>
        </w:rPr>
      </w:pPr>
    </w:p>
    <w:p w:rsidR="000B6F98" w:rsidRDefault="000B6F98" w:rsidP="000B6F98">
      <w:pPr>
        <w:rPr>
          <w:b/>
        </w:rPr>
      </w:pPr>
      <w:r w:rsidRPr="00DE0667">
        <w:rPr>
          <w:b/>
        </w:rPr>
        <w:lastRenderedPageBreak/>
        <w:t>Conclusion</w:t>
      </w:r>
      <w:r w:rsidR="00187655">
        <w:rPr>
          <w:b/>
        </w:rPr>
        <w:t>s</w:t>
      </w:r>
    </w:p>
    <w:p w:rsidR="0063254E" w:rsidRDefault="0011333E" w:rsidP="000B6F98">
      <w:r>
        <w:t xml:space="preserve">It is clear from the above analysis that </w:t>
      </w:r>
      <w:r w:rsidR="000B6F98" w:rsidRPr="00FC31D9">
        <w:t xml:space="preserve">the impact of Brexit </w:t>
      </w:r>
      <w:r>
        <w:t xml:space="preserve">on contract law cannot be properly assessed </w:t>
      </w:r>
      <w:r w:rsidR="000B6F98" w:rsidRPr="00FC31D9">
        <w:t>until</w:t>
      </w:r>
      <w:r w:rsidR="00FC31D9">
        <w:t xml:space="preserve"> the </w:t>
      </w:r>
      <w:r>
        <w:t xml:space="preserve">post-Brexit </w:t>
      </w:r>
      <w:r w:rsidR="00FC31D9">
        <w:t>dust settles and</w:t>
      </w:r>
      <w:r w:rsidR="000B6F98" w:rsidRPr="00FC31D9">
        <w:t xml:space="preserve"> there is </w:t>
      </w:r>
      <w:r w:rsidR="004A2A57">
        <w:t>greater</w:t>
      </w:r>
      <w:r w:rsidR="000B6F98" w:rsidRPr="00FC31D9">
        <w:t xml:space="preserve"> certainty regarding the UK’s future relationship with </w:t>
      </w:r>
      <w:r w:rsidR="00FC31D9">
        <w:t xml:space="preserve">the </w:t>
      </w:r>
      <w:r w:rsidR="000F3CA2">
        <w:t>EU</w:t>
      </w:r>
      <w:r w:rsidR="000B6F98" w:rsidRPr="00FC31D9">
        <w:t xml:space="preserve">. </w:t>
      </w:r>
      <w:r w:rsidR="00043585">
        <w:t xml:space="preserve">At the moment, </w:t>
      </w:r>
      <w:r w:rsidR="004F47AC">
        <w:t xml:space="preserve">it is difficult for </w:t>
      </w:r>
      <w:r w:rsidR="00043585">
        <w:t xml:space="preserve">legal commentators </w:t>
      </w:r>
      <w:r w:rsidR="004F47AC">
        <w:t>to</w:t>
      </w:r>
      <w:r w:rsidR="00043585">
        <w:t xml:space="preserve"> consider </w:t>
      </w:r>
      <w:r w:rsidR="004F47AC">
        <w:t xml:space="preserve">more than </w:t>
      </w:r>
      <w:r w:rsidR="00043585">
        <w:t>risks and possibilities.</w:t>
      </w:r>
      <w:r w:rsidR="008A7349">
        <w:t xml:space="preserve"> </w:t>
      </w:r>
    </w:p>
    <w:p w:rsidR="0063254E" w:rsidRDefault="004F47AC" w:rsidP="000B6F98">
      <w:r>
        <w:t>As noted, t</w:t>
      </w:r>
      <w:r w:rsidR="000B6F98" w:rsidRPr="00FC31D9">
        <w:t xml:space="preserve">he impact </w:t>
      </w:r>
      <w:r w:rsidR="008A7349">
        <w:t>of Brexit on substantive contract law may be</w:t>
      </w:r>
      <w:r w:rsidR="000B6F98" w:rsidRPr="00FC31D9">
        <w:t xml:space="preserve"> less onerous than on other areas of law. However</w:t>
      </w:r>
      <w:r>
        <w:t>,</w:t>
      </w:r>
      <w:r w:rsidR="000B6F98" w:rsidRPr="00FC31D9">
        <w:t xml:space="preserve"> </w:t>
      </w:r>
      <w:r w:rsidR="00CE718B">
        <w:t xml:space="preserve">legislation such as </w:t>
      </w:r>
      <w:r w:rsidR="00FC31D9">
        <w:t>Rome I and Rome II and the Recast Convention will</w:t>
      </w:r>
      <w:r w:rsidR="000B6F98" w:rsidRPr="00FC31D9">
        <w:t xml:space="preserve"> no longer apply</w:t>
      </w:r>
      <w:r w:rsidR="00CE718B">
        <w:t xml:space="preserve"> in their current form</w:t>
      </w:r>
      <w:r w:rsidR="0011333E">
        <w:t>.</w:t>
      </w:r>
      <w:r w:rsidR="00BB5933">
        <w:t xml:space="preserve"> </w:t>
      </w:r>
      <w:r w:rsidR="0011333E">
        <w:t>I</w:t>
      </w:r>
      <w:r w:rsidR="00FC31D9">
        <w:t>t is likely</w:t>
      </w:r>
      <w:r w:rsidR="0011333E">
        <w:t xml:space="preserve"> that </w:t>
      </w:r>
      <w:r w:rsidR="00FC31D9">
        <w:t>English governing law will</w:t>
      </w:r>
      <w:r w:rsidR="000B6F98" w:rsidRPr="00FC31D9">
        <w:t xml:space="preserve"> continue to be </w:t>
      </w:r>
      <w:r w:rsidR="00BB5933">
        <w:t>chosen</w:t>
      </w:r>
      <w:r w:rsidR="0011333E">
        <w:t xml:space="preserve"> </w:t>
      </w:r>
      <w:r w:rsidR="0063254E">
        <w:t xml:space="preserve">for use in cross-border contracts </w:t>
      </w:r>
      <w:r w:rsidR="0011333E">
        <w:t>after this point</w:t>
      </w:r>
      <w:r w:rsidR="00FC31D9">
        <w:t>, for its advantages o</w:t>
      </w:r>
      <w:r w:rsidR="0063254E">
        <w:t xml:space="preserve">f commerciality and flexibility: whether </w:t>
      </w:r>
      <w:r w:rsidR="00CE718B">
        <w:t>it</w:t>
      </w:r>
      <w:r w:rsidR="0063254E">
        <w:t xml:space="preserve"> will continue to be as popular a choice </w:t>
      </w:r>
      <w:r w:rsidR="00CE718B">
        <w:t>for cross-border contracts</w:t>
      </w:r>
      <w:r w:rsidR="0063254E">
        <w:t xml:space="preserve"> remains to be seen.</w:t>
      </w:r>
      <w:r w:rsidR="00043585">
        <w:t xml:space="preserve"> H</w:t>
      </w:r>
      <w:r w:rsidR="006D0033">
        <w:t xml:space="preserve">owever with jurisdiction and enforcement, the picture </w:t>
      </w:r>
      <w:r>
        <w:t>is less rosy</w:t>
      </w:r>
      <w:r w:rsidR="00251B62">
        <w:t xml:space="preserve">, with the </w:t>
      </w:r>
      <w:r w:rsidR="004E13F7">
        <w:t xml:space="preserve">potential </w:t>
      </w:r>
      <w:r w:rsidR="00251B62">
        <w:t>difficulty of requiring Member States to agree to enforce</w:t>
      </w:r>
      <w:r>
        <w:t xml:space="preserve"> English judgments</w:t>
      </w:r>
      <w:r w:rsidR="00CD58EB">
        <w:t xml:space="preserve"> when they </w:t>
      </w:r>
      <w:r w:rsidR="004E13F7">
        <w:t>will not be</w:t>
      </w:r>
      <w:r w:rsidR="00CD58EB">
        <w:t xml:space="preserve"> legally required to do so.</w:t>
      </w:r>
    </w:p>
    <w:p w:rsidR="000B6F98" w:rsidRDefault="0063254E" w:rsidP="000B6F98">
      <w:r>
        <w:t>There is</w:t>
      </w:r>
      <w:r w:rsidR="004F47AC">
        <w:t xml:space="preserve"> much work needed to dis-integrate</w:t>
      </w:r>
      <w:r>
        <w:t xml:space="preserve"> the United Kingdom from the EU. L</w:t>
      </w:r>
      <w:r w:rsidR="004F47AC">
        <w:t xml:space="preserve">egal commentators will need to become comfortable with watching and waiting for the future relationship of the UK with the EU </w:t>
      </w:r>
      <w:r>
        <w:t xml:space="preserve">to </w:t>
      </w:r>
      <w:r w:rsidR="004F47AC">
        <w:t>emerge</w:t>
      </w:r>
      <w:r>
        <w:t xml:space="preserve"> from the negotiations, before the true impact of Brexit on contract law can be seen.</w:t>
      </w:r>
    </w:p>
    <w:p w:rsidR="00524543" w:rsidRDefault="003C55B3" w:rsidP="000B6F98">
      <w:r>
        <w:t>[232</w:t>
      </w:r>
      <w:r w:rsidR="00524543">
        <w:t>4 words]</w:t>
      </w:r>
    </w:p>
    <w:p w:rsidR="0055133D" w:rsidRDefault="0055133D" w:rsidP="000B6F98">
      <w:pPr>
        <w:rPr>
          <w:i/>
          <w:sz w:val="18"/>
          <w:szCs w:val="18"/>
        </w:rPr>
      </w:pPr>
    </w:p>
    <w:p w:rsidR="0055133D" w:rsidRDefault="0055133D" w:rsidP="000B6F98">
      <w:pPr>
        <w:rPr>
          <w:i/>
          <w:sz w:val="18"/>
          <w:szCs w:val="18"/>
        </w:rPr>
      </w:pPr>
    </w:p>
    <w:p w:rsidR="0055133D" w:rsidRDefault="0055133D" w:rsidP="000B6F98">
      <w:pPr>
        <w:rPr>
          <w:i/>
          <w:sz w:val="18"/>
          <w:szCs w:val="18"/>
        </w:rPr>
      </w:pPr>
    </w:p>
    <w:p w:rsidR="001D3A1F" w:rsidRPr="0055133D" w:rsidRDefault="001D3A1F" w:rsidP="000B6F98">
      <w:pPr>
        <w:rPr>
          <w:i/>
          <w:sz w:val="18"/>
          <w:szCs w:val="18"/>
        </w:rPr>
      </w:pPr>
      <w:r w:rsidRPr="0055133D">
        <w:rPr>
          <w:i/>
          <w:sz w:val="18"/>
          <w:szCs w:val="18"/>
        </w:rPr>
        <w:t xml:space="preserve">A version of this article will appear in the Student Law Review. </w:t>
      </w:r>
      <w:bookmarkEnd w:id="0"/>
    </w:p>
    <w:sectPr w:rsidR="001D3A1F" w:rsidRPr="0055133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E0" w:rsidRDefault="008470E0" w:rsidP="00FE30B2">
      <w:pPr>
        <w:spacing w:after="0" w:line="240" w:lineRule="auto"/>
      </w:pPr>
      <w:r>
        <w:separator/>
      </w:r>
    </w:p>
  </w:endnote>
  <w:endnote w:type="continuationSeparator" w:id="0">
    <w:p w:rsidR="008470E0" w:rsidRDefault="008470E0" w:rsidP="00FE30B2">
      <w:pPr>
        <w:spacing w:after="0" w:line="240" w:lineRule="auto"/>
      </w:pPr>
      <w:r>
        <w:continuationSeparator/>
      </w:r>
    </w:p>
  </w:endnote>
  <w:endnote w:id="1">
    <w:p w:rsidR="008F26CC" w:rsidRPr="002C2FDE" w:rsidRDefault="008F26CC">
      <w:pPr>
        <w:pStyle w:val="EndnoteText"/>
        <w:rPr>
          <w:rFonts w:ascii="Calibri" w:hAnsi="Calibri"/>
        </w:rPr>
      </w:pPr>
      <w:r w:rsidRPr="002C2FDE">
        <w:rPr>
          <w:rStyle w:val="EndnoteReference"/>
          <w:rFonts w:ascii="Calibri" w:hAnsi="Calibri"/>
        </w:rPr>
        <w:endnoteRef/>
      </w:r>
      <w:r w:rsidRPr="002C2FDE">
        <w:rPr>
          <w:rFonts w:ascii="Calibri" w:hAnsi="Calibri"/>
        </w:rPr>
        <w:t xml:space="preserve"> </w:t>
      </w:r>
      <w:hyperlink r:id="rId1" w:history="1">
        <w:r w:rsidRPr="002C2FDE">
          <w:rPr>
            <w:rStyle w:val="Hyperlink"/>
            <w:rFonts w:ascii="Calibri" w:hAnsi="Calibri"/>
          </w:rPr>
          <w:t>http://webarchive.nationalarchives.gov.uk/20160105160709/http://www.ons.gov.uk/ons/rel/international-transactions/outward-foreign-affiliates-statistics/how-important-is-the-european-union-to-uk-trade-and-investment-/sty-eu.html</w:t>
        </w:r>
      </w:hyperlink>
      <w:r w:rsidRPr="002C2FDE">
        <w:rPr>
          <w:rFonts w:ascii="Calibri" w:hAnsi="Calibri"/>
        </w:rPr>
        <w:t xml:space="preserve"> Accessed 11</w:t>
      </w:r>
      <w:r w:rsidR="004F71B7" w:rsidRPr="002C2FDE">
        <w:rPr>
          <w:rFonts w:ascii="Calibri" w:hAnsi="Calibri"/>
        </w:rPr>
        <w:t xml:space="preserve"> July 2016</w:t>
      </w:r>
    </w:p>
  </w:endnote>
  <w:endnote w:id="2">
    <w:p w:rsidR="001038E1" w:rsidRPr="002C2FDE" w:rsidRDefault="001038E1">
      <w:pPr>
        <w:pStyle w:val="EndnoteText"/>
        <w:rPr>
          <w:rFonts w:ascii="Calibri" w:hAnsi="Calibri"/>
        </w:rPr>
      </w:pPr>
      <w:r w:rsidRPr="002C2FDE">
        <w:rPr>
          <w:rStyle w:val="EndnoteReference"/>
          <w:rFonts w:ascii="Calibri" w:hAnsi="Calibri"/>
        </w:rPr>
        <w:endnoteRef/>
      </w:r>
      <w:r w:rsidRPr="002C2FDE">
        <w:rPr>
          <w:rFonts w:ascii="Calibri" w:hAnsi="Calibri"/>
        </w:rPr>
        <w:t xml:space="preserve"> </w:t>
      </w:r>
      <w:r w:rsidRPr="00E170B6">
        <w:rPr>
          <w:rFonts w:ascii="Calibri" w:hAnsi="Calibri"/>
          <w:i/>
        </w:rPr>
        <w:t>Chitty on Contracts</w:t>
      </w:r>
      <w:r w:rsidRPr="002C2FDE">
        <w:rPr>
          <w:rFonts w:ascii="Calibri" w:hAnsi="Calibri"/>
        </w:rPr>
        <w:t>, Vol. 1 (28</w:t>
      </w:r>
      <w:r w:rsidRPr="002C2FDE">
        <w:rPr>
          <w:rFonts w:ascii="Calibri" w:hAnsi="Calibri"/>
          <w:vertAlign w:val="superscript"/>
        </w:rPr>
        <w:t>th</w:t>
      </w:r>
      <w:r w:rsidRPr="002C2FDE">
        <w:rPr>
          <w:rFonts w:ascii="Calibri" w:hAnsi="Calibri"/>
        </w:rPr>
        <w:t xml:space="preserve"> Ed., 1999) 31-001</w:t>
      </w:r>
    </w:p>
  </w:endnote>
  <w:endnote w:id="3">
    <w:p w:rsidR="005F3A07" w:rsidRPr="002C2FDE" w:rsidRDefault="005F3A07" w:rsidP="005F3A07">
      <w:pPr>
        <w:pStyle w:val="EndnoteText"/>
        <w:rPr>
          <w:rFonts w:ascii="Calibri" w:hAnsi="Calibri"/>
        </w:rPr>
      </w:pPr>
      <w:r w:rsidRPr="002C2FDE">
        <w:rPr>
          <w:rStyle w:val="EndnoteReference"/>
          <w:rFonts w:ascii="Calibri" w:hAnsi="Calibri"/>
        </w:rPr>
        <w:endnoteRef/>
      </w:r>
      <w:r w:rsidRPr="002C2FDE">
        <w:rPr>
          <w:rFonts w:ascii="Calibri" w:hAnsi="Calibri"/>
        </w:rPr>
        <w:t xml:space="preserve"> </w:t>
      </w:r>
      <w:r w:rsidRPr="002C2FDE">
        <w:rPr>
          <w:rFonts w:ascii="Calibri" w:hAnsi="Calibri"/>
          <w:bCs/>
          <w:lang w:val="en"/>
        </w:rPr>
        <w:t>Rome I Regulation</w:t>
      </w:r>
      <w:r w:rsidRPr="002C2FDE">
        <w:rPr>
          <w:rFonts w:ascii="Calibri" w:hAnsi="Calibri"/>
          <w:lang w:val="en"/>
        </w:rPr>
        <w:t xml:space="preserve"> (Regulation (EC) No </w:t>
      </w:r>
      <w:hyperlink r:id="rId2" w:history="1">
        <w:r w:rsidRPr="002C2FDE">
          <w:rPr>
            <w:rStyle w:val="Hyperlink"/>
            <w:rFonts w:ascii="Calibri" w:hAnsi="Calibri"/>
            <w:lang w:val="en"/>
          </w:rPr>
          <w:t>593/2008</w:t>
        </w:r>
      </w:hyperlink>
      <w:r w:rsidRPr="002C2FDE">
        <w:rPr>
          <w:rFonts w:ascii="Calibri" w:hAnsi="Calibri"/>
          <w:lang w:val="en"/>
        </w:rPr>
        <w:t xml:space="preserve"> of the European Parliament and of the Council of 17 June 2008 on the law applicable to contractual obligations) </w:t>
      </w:r>
      <w:r w:rsidRPr="002C2FDE">
        <w:rPr>
          <w:rFonts w:ascii="Calibri" w:hAnsi="Calibri"/>
          <w:bCs/>
          <w:lang w:val="en"/>
        </w:rPr>
        <w:t>Rome II Regulation</w:t>
      </w:r>
      <w:r w:rsidRPr="002C2FDE">
        <w:rPr>
          <w:rFonts w:ascii="Calibri" w:hAnsi="Calibri"/>
          <w:lang w:val="en"/>
        </w:rPr>
        <w:t xml:space="preserve"> (</w:t>
      </w:r>
      <w:r w:rsidRPr="002C2FDE">
        <w:rPr>
          <w:rFonts w:ascii="Calibri" w:hAnsi="Calibri"/>
          <w:bCs/>
        </w:rPr>
        <w:t>Regulation (EC) No 864/2007 of the European Parliament and of the Council of 11 July 2007 on the law applicable to non-contractual obligations</w:t>
      </w:r>
    </w:p>
  </w:endnote>
  <w:endnote w:id="4">
    <w:p w:rsidR="005F3A07" w:rsidRPr="002C2FDE" w:rsidRDefault="005F3A07">
      <w:pPr>
        <w:pStyle w:val="EndnoteText"/>
        <w:rPr>
          <w:rFonts w:ascii="Calibri" w:hAnsi="Calibri"/>
        </w:rPr>
      </w:pPr>
      <w:r w:rsidRPr="002C2FDE">
        <w:rPr>
          <w:rStyle w:val="EndnoteReference"/>
          <w:rFonts w:ascii="Calibri" w:hAnsi="Calibri"/>
        </w:rPr>
        <w:endnoteRef/>
      </w:r>
      <w:r w:rsidRPr="002C2FDE">
        <w:rPr>
          <w:rFonts w:ascii="Calibri" w:hAnsi="Calibri"/>
        </w:rPr>
        <w:t xml:space="preserve"> Birch, K., and Garvey, S., </w:t>
      </w:r>
      <w:r w:rsidRPr="008C3190">
        <w:rPr>
          <w:rFonts w:ascii="Calibri" w:hAnsi="Calibri"/>
        </w:rPr>
        <w:t>“Brexit – legal consequences for commercial parties: English governing law clauses – should commercial parties change their approach?”</w:t>
      </w:r>
      <w:r w:rsidRPr="002C2FDE">
        <w:rPr>
          <w:rFonts w:ascii="Calibri" w:hAnsi="Calibri"/>
        </w:rPr>
        <w:t xml:space="preserve">  Specialist paper No 1 February 2016 p3</w:t>
      </w:r>
    </w:p>
  </w:endnote>
  <w:endnote w:id="5">
    <w:p w:rsidR="002C2FDE" w:rsidRPr="002C2FDE" w:rsidRDefault="002C2FDE" w:rsidP="002C2FDE">
      <w:pPr>
        <w:pStyle w:val="EndnoteText"/>
        <w:rPr>
          <w:rFonts w:ascii="Calibri" w:hAnsi="Calibri"/>
        </w:rPr>
      </w:pPr>
      <w:r w:rsidRPr="002C2FDE">
        <w:rPr>
          <w:rStyle w:val="EndnoteReference"/>
          <w:rFonts w:ascii="Calibri" w:hAnsi="Calibri"/>
        </w:rPr>
        <w:endnoteRef/>
      </w:r>
      <w:r w:rsidRPr="002C2FDE">
        <w:rPr>
          <w:rFonts w:ascii="Calibri" w:hAnsi="Calibri"/>
        </w:rPr>
        <w:t xml:space="preserve"> Speller, S., “Brexit: what might it mean for contracts and disputes?” </w:t>
      </w:r>
      <w:hyperlink r:id="rId3" w:history="1">
        <w:r w:rsidRPr="002C2FDE">
          <w:rPr>
            <w:rStyle w:val="Hyperlink"/>
            <w:rFonts w:ascii="Calibri" w:hAnsi="Calibri"/>
          </w:rPr>
          <w:t>http://www.olswang.com/articles/2016/05/brexit-what-might-it-mean-for-contracts-and-disputes/</w:t>
        </w:r>
      </w:hyperlink>
      <w:r w:rsidRPr="002C2FDE">
        <w:rPr>
          <w:rFonts w:ascii="Calibri" w:hAnsi="Calibri"/>
        </w:rPr>
        <w:t xml:space="preserve"> 19 May 2016</w:t>
      </w:r>
      <w:r w:rsidR="008C3190">
        <w:rPr>
          <w:rFonts w:ascii="Calibri" w:hAnsi="Calibri"/>
        </w:rPr>
        <w:t xml:space="preserve"> Accessed 10 July 2016</w:t>
      </w:r>
    </w:p>
  </w:endnote>
  <w:endnote w:id="6">
    <w:p w:rsidR="00A07E47" w:rsidRPr="002C2FDE" w:rsidRDefault="00A07E47">
      <w:pPr>
        <w:pStyle w:val="EndnoteText"/>
        <w:rPr>
          <w:rFonts w:ascii="Calibri" w:hAnsi="Calibri"/>
        </w:rPr>
      </w:pPr>
      <w:r w:rsidRPr="002C2FDE">
        <w:rPr>
          <w:rStyle w:val="EndnoteReference"/>
          <w:rFonts w:ascii="Calibri" w:hAnsi="Calibri"/>
        </w:rPr>
        <w:endnoteRef/>
      </w:r>
      <w:r w:rsidRPr="002C2FDE">
        <w:rPr>
          <w:rFonts w:ascii="Calibri" w:hAnsi="Calibri"/>
        </w:rPr>
        <w:t xml:space="preserve"> </w:t>
      </w:r>
      <w:r w:rsidR="00A05C74" w:rsidRPr="002C2FDE">
        <w:rPr>
          <w:rFonts w:ascii="Calibri" w:hAnsi="Calibri"/>
        </w:rPr>
        <w:t>See for example the Singapore Academy of Law</w:t>
      </w:r>
      <w:r w:rsidR="00E170B6">
        <w:rPr>
          <w:rFonts w:ascii="Calibri" w:hAnsi="Calibri"/>
        </w:rPr>
        <w:t>’s January 2016 s</w:t>
      </w:r>
      <w:r w:rsidR="00A05C74" w:rsidRPr="002C2FDE">
        <w:rPr>
          <w:rFonts w:ascii="Calibri" w:hAnsi="Calibri"/>
        </w:rPr>
        <w:t>urvey of 500 lawyers working on cross-border transactions in which En</w:t>
      </w:r>
      <w:r w:rsidR="00E170B6">
        <w:rPr>
          <w:rFonts w:ascii="Calibri" w:hAnsi="Calibri"/>
        </w:rPr>
        <w:t>g</w:t>
      </w:r>
      <w:r w:rsidR="00A05C74" w:rsidRPr="002C2FDE">
        <w:rPr>
          <w:rFonts w:ascii="Calibri" w:hAnsi="Calibri"/>
        </w:rPr>
        <w:t>lish Law was the most popular choice of governing law, with 48% of respondents identifying it as their preferred choice - as quote by Birch</w:t>
      </w:r>
      <w:r w:rsidR="00E170B6">
        <w:rPr>
          <w:rFonts w:ascii="Calibri" w:hAnsi="Calibri"/>
        </w:rPr>
        <w:t xml:space="preserve"> </w:t>
      </w:r>
      <w:r w:rsidR="00A05C74" w:rsidRPr="002C2FDE">
        <w:rPr>
          <w:rFonts w:ascii="Calibri" w:hAnsi="Calibri"/>
        </w:rPr>
        <w:t>and Garvey</w:t>
      </w:r>
      <w:r w:rsidR="008C3190">
        <w:rPr>
          <w:rFonts w:ascii="Calibri" w:hAnsi="Calibri"/>
        </w:rPr>
        <w:t xml:space="preserve"> (n5</w:t>
      </w:r>
      <w:r w:rsidR="00E170B6">
        <w:rPr>
          <w:rFonts w:ascii="Calibri" w:hAnsi="Calibri"/>
        </w:rPr>
        <w:t>)</w:t>
      </w:r>
    </w:p>
  </w:endnote>
  <w:endnote w:id="7">
    <w:p w:rsidR="00D41773" w:rsidRPr="002C2FDE" w:rsidRDefault="00325158">
      <w:pPr>
        <w:pStyle w:val="EndnoteText"/>
        <w:rPr>
          <w:rFonts w:ascii="Calibri" w:hAnsi="Calibri"/>
        </w:rPr>
      </w:pPr>
      <w:r>
        <w:rPr>
          <w:rStyle w:val="EndnoteReference"/>
        </w:rPr>
        <w:endnoteRef/>
      </w:r>
      <w:r w:rsidR="008B7A1C">
        <w:rPr>
          <w:rFonts w:ascii="Calibri" w:hAnsi="Calibri"/>
        </w:rPr>
        <w:t xml:space="preserve"> n</w:t>
      </w:r>
      <w:r>
        <w:rPr>
          <w:rFonts w:ascii="Calibri" w:hAnsi="Calibri"/>
        </w:rPr>
        <w:t>5</w:t>
      </w:r>
      <w:r w:rsidR="008B7A1C">
        <w:rPr>
          <w:rFonts w:ascii="Calibri" w:hAnsi="Calibri"/>
        </w:rPr>
        <w:t xml:space="preserve"> p3</w:t>
      </w:r>
    </w:p>
  </w:endnote>
  <w:endnote w:id="8">
    <w:p w:rsidR="00775244" w:rsidRPr="00775244" w:rsidRDefault="00775244" w:rsidP="00CD1C02">
      <w:pPr>
        <w:pStyle w:val="EndnoteText"/>
        <w:rPr>
          <w:i/>
        </w:rPr>
      </w:pPr>
      <w:r>
        <w:rPr>
          <w:rStyle w:val="EndnoteReference"/>
        </w:rPr>
        <w:endnoteRef/>
      </w:r>
      <w:r>
        <w:t xml:space="preserve"> </w:t>
      </w:r>
      <w:r w:rsidRPr="00775244">
        <w:t xml:space="preserve">See discussion of the cases of </w:t>
      </w:r>
      <w:r w:rsidRPr="00775244">
        <w:rPr>
          <w:i/>
        </w:rPr>
        <w:t>Yam Seng Pte Ltd v International Trade Corp Ltd</w:t>
      </w:r>
      <w:r w:rsidRPr="00775244">
        <w:t xml:space="preserve"> [2013] EWHC 111 (QB)</w:t>
      </w:r>
      <w:r w:rsidRPr="00775244">
        <w:rPr>
          <w:i/>
        </w:rPr>
        <w:t>, Hamsard 3147 Ltd (t/a Mini Mode Childrenswear) v Boots UK Ltd</w:t>
      </w:r>
      <w:r w:rsidRPr="00775244">
        <w:t xml:space="preserve"> [2013] EWHC 3251 (Pat)</w:t>
      </w:r>
    </w:p>
    <w:p w:rsidR="00775244" w:rsidRPr="00775244" w:rsidRDefault="00775244" w:rsidP="00775244">
      <w:pPr>
        <w:spacing w:after="0" w:line="240" w:lineRule="auto"/>
        <w:rPr>
          <w:sz w:val="20"/>
          <w:szCs w:val="20"/>
        </w:rPr>
      </w:pPr>
      <w:r w:rsidRPr="00775244">
        <w:rPr>
          <w:sz w:val="20"/>
          <w:szCs w:val="20"/>
        </w:rPr>
        <w:t xml:space="preserve">and </w:t>
      </w:r>
      <w:r w:rsidRPr="00775244">
        <w:rPr>
          <w:i/>
          <w:sz w:val="20"/>
          <w:szCs w:val="20"/>
        </w:rPr>
        <w:t xml:space="preserve">TSG Building Services Plc v South Anglia Housing Ltd </w:t>
      </w:r>
      <w:r w:rsidRPr="00775244">
        <w:rPr>
          <w:sz w:val="20"/>
          <w:szCs w:val="20"/>
        </w:rPr>
        <w:t xml:space="preserve">[2013] EWHC 1151 (TCC); [2013] B.L.R 484 </w:t>
      </w:r>
    </w:p>
    <w:p w:rsidR="00775244" w:rsidRDefault="00775244" w:rsidP="00775244">
      <w:r w:rsidRPr="00775244">
        <w:rPr>
          <w:sz w:val="20"/>
          <w:szCs w:val="20"/>
        </w:rPr>
        <w:t xml:space="preserve">in Woods, J ,“Updating Yam Seng Pte Ltd v International Trade Corp [2013]: is there an implied duty of “good faith” in commercial contracts?” </w:t>
      </w:r>
      <w:r w:rsidRPr="00775244">
        <w:rPr>
          <w:rFonts w:cs="Arial"/>
          <w:i/>
          <w:iCs/>
          <w:color w:val="333333"/>
          <w:sz w:val="20"/>
          <w:szCs w:val="20"/>
        </w:rPr>
        <w:t xml:space="preserve">Student Law Review </w:t>
      </w:r>
      <w:r w:rsidRPr="007C3332">
        <w:rPr>
          <w:rFonts w:cs="Arial"/>
          <w:iCs/>
          <w:color w:val="333333"/>
          <w:sz w:val="20"/>
          <w:szCs w:val="20"/>
        </w:rPr>
        <w:t>Autumn 2014</w:t>
      </w:r>
      <w:r w:rsidRPr="00775244">
        <w:rPr>
          <w:rFonts w:cs="Arial"/>
          <w:color w:val="333333"/>
          <w:sz w:val="20"/>
          <w:szCs w:val="20"/>
        </w:rPr>
        <w:t xml:space="preserve"> 73</w:t>
      </w:r>
    </w:p>
  </w:endnote>
  <w:endnote w:id="9">
    <w:p w:rsidR="0046719F" w:rsidRDefault="0046719F">
      <w:pPr>
        <w:pStyle w:val="EndnoteText"/>
      </w:pPr>
      <w:r>
        <w:rPr>
          <w:rStyle w:val="EndnoteReference"/>
        </w:rPr>
        <w:endnoteRef/>
      </w:r>
      <w:r>
        <w:t xml:space="preserve"> Goldman, L. “My Way and the Highway: the Law and Economics of Choice of Forum Clauses in Consumer Form Contracts”</w:t>
      </w:r>
      <w:r w:rsidR="007C3332">
        <w:t xml:space="preserve">, NorthWestern University Law Review 1991-1992 86 No. 3 </w:t>
      </w:r>
    </w:p>
  </w:endnote>
  <w:endnote w:id="10">
    <w:p w:rsidR="00DB2E93" w:rsidRDefault="00DB2E93" w:rsidP="00DB2E93">
      <w:pPr>
        <w:pStyle w:val="EndnoteText"/>
      </w:pPr>
      <w:r>
        <w:rPr>
          <w:rStyle w:val="EndnoteReference"/>
        </w:rPr>
        <w:endnoteRef/>
      </w:r>
      <w:r>
        <w:t xml:space="preserve"> Regulation (EU) No 1215/2012 of the European Parliament and of the Council of 12 December 2012 on jurisdiction and the recognition and enforcement of judgments in civil and commercial matters (recast) </w:t>
      </w:r>
    </w:p>
  </w:endnote>
  <w:endnote w:id="11">
    <w:p w:rsidR="00074207" w:rsidRDefault="00074207">
      <w:pPr>
        <w:pStyle w:val="EndnoteText"/>
      </w:pPr>
      <w:r>
        <w:rPr>
          <w:rStyle w:val="EndnoteReference"/>
        </w:rPr>
        <w:endnoteRef/>
      </w:r>
      <w:r>
        <w:t xml:space="preserve"> n10, p700</w:t>
      </w:r>
    </w:p>
  </w:endnote>
  <w:endnote w:id="12">
    <w:p w:rsidR="008603C1" w:rsidRDefault="008603C1">
      <w:pPr>
        <w:pStyle w:val="EndnoteText"/>
      </w:pPr>
      <w:r>
        <w:rPr>
          <w:rStyle w:val="EndnoteReference"/>
        </w:rPr>
        <w:endnoteRef/>
      </w:r>
      <w:r>
        <w:t xml:space="preserve"> Garvey, S., and Birch, K., “Brexit – legal consequences for commercial parties. English jurisdiction clauses – should commercial parties change their approach?” Specialist Paper No. 2 February 2016 </w:t>
      </w:r>
    </w:p>
    <w:p w:rsidR="008603C1" w:rsidRDefault="008470E0">
      <w:pPr>
        <w:pStyle w:val="EndnoteText"/>
      </w:pPr>
      <w:hyperlink r:id="rId4" w:history="1">
        <w:r w:rsidR="008603C1" w:rsidRPr="00823186">
          <w:rPr>
            <w:rStyle w:val="Hyperlink"/>
          </w:rPr>
          <w:t>http://www.allenovery.com/SiteCollectionDocuments/AO_03_Brexit_Specialist_paper_Jurisdiction_clauses.pdf</w:t>
        </w:r>
      </w:hyperlink>
      <w:r w:rsidR="008603C1">
        <w:t xml:space="preserve"> Accessed 11 July 2016</w:t>
      </w:r>
    </w:p>
  </w:endnote>
  <w:endnote w:id="13">
    <w:p w:rsidR="00F925FA" w:rsidRDefault="00F925FA">
      <w:pPr>
        <w:pStyle w:val="EndnoteText"/>
      </w:pPr>
      <w:r>
        <w:rPr>
          <w:rStyle w:val="EndnoteReference"/>
        </w:rPr>
        <w:endnoteRef/>
      </w:r>
      <w:r>
        <w:t xml:space="preserve"> </w:t>
      </w:r>
      <w:r w:rsidRPr="00013F58">
        <w:t>Ibid</w:t>
      </w:r>
    </w:p>
  </w:endnote>
  <w:endnote w:id="14">
    <w:p w:rsidR="00A67076" w:rsidRPr="002C2FDE" w:rsidRDefault="00A67076">
      <w:pPr>
        <w:pStyle w:val="EndnoteText"/>
        <w:rPr>
          <w:rFonts w:ascii="Calibri" w:hAnsi="Calibri"/>
        </w:rPr>
      </w:pPr>
      <w:r w:rsidRPr="002C2FDE">
        <w:rPr>
          <w:rStyle w:val="EndnoteReference"/>
          <w:rFonts w:ascii="Calibri" w:hAnsi="Calibri"/>
        </w:rPr>
        <w:endnoteRef/>
      </w:r>
      <w:r w:rsidRPr="002C2FDE">
        <w:rPr>
          <w:rFonts w:ascii="Calibri" w:hAnsi="Calibri"/>
        </w:rPr>
        <w:t xml:space="preserve"> </w:t>
      </w:r>
      <w:r w:rsidR="008C3190">
        <w:rPr>
          <w:rFonts w:ascii="Calibri" w:hAnsi="Calibri"/>
        </w:rPr>
        <w:t>Ibid</w:t>
      </w:r>
    </w:p>
  </w:endnote>
  <w:endnote w:id="15">
    <w:p w:rsidR="00A906AC" w:rsidRDefault="00A906AC">
      <w:pPr>
        <w:pStyle w:val="EndnoteText"/>
      </w:pPr>
      <w:r>
        <w:rPr>
          <w:rStyle w:val="EndnoteReference"/>
        </w:rPr>
        <w:endnoteRef/>
      </w:r>
      <w:r>
        <w:t xml:space="preserve"> O’Connor, M., “Brexit: Implications for commercial contracts” DLA Piper publications 24 June 2016 </w:t>
      </w:r>
      <w:hyperlink r:id="rId5" w:history="1">
        <w:r w:rsidRPr="00823186">
          <w:rPr>
            <w:rStyle w:val="Hyperlink"/>
          </w:rPr>
          <w:t>https://www.dlapiper.com/en/us/insights/publications/2016/05/brexit-implications-for-commercial-contracts/</w:t>
        </w:r>
      </w:hyperlink>
      <w:r>
        <w:t xml:space="preserve"> Accessed 15 July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E0" w:rsidRDefault="008470E0" w:rsidP="00FE30B2">
      <w:pPr>
        <w:spacing w:after="0" w:line="240" w:lineRule="auto"/>
      </w:pPr>
      <w:r>
        <w:separator/>
      </w:r>
    </w:p>
  </w:footnote>
  <w:footnote w:type="continuationSeparator" w:id="0">
    <w:p w:rsidR="008470E0" w:rsidRDefault="008470E0" w:rsidP="00FE3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7D8"/>
    <w:multiLevelType w:val="hybridMultilevel"/>
    <w:tmpl w:val="126AC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457B9"/>
    <w:multiLevelType w:val="hybridMultilevel"/>
    <w:tmpl w:val="4388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D6"/>
    <w:rsid w:val="00013F58"/>
    <w:rsid w:val="00043585"/>
    <w:rsid w:val="00074207"/>
    <w:rsid w:val="0009587E"/>
    <w:rsid w:val="000A17FC"/>
    <w:rsid w:val="000A42D1"/>
    <w:rsid w:val="000B0CF9"/>
    <w:rsid w:val="000B608B"/>
    <w:rsid w:val="000B6F98"/>
    <w:rsid w:val="000E2BD6"/>
    <w:rsid w:val="000E7E77"/>
    <w:rsid w:val="000F3CA2"/>
    <w:rsid w:val="001038E1"/>
    <w:rsid w:val="001128B8"/>
    <w:rsid w:val="0011333E"/>
    <w:rsid w:val="00125C93"/>
    <w:rsid w:val="00187655"/>
    <w:rsid w:val="00187E15"/>
    <w:rsid w:val="0019043F"/>
    <w:rsid w:val="00193109"/>
    <w:rsid w:val="00196288"/>
    <w:rsid w:val="001A2D3E"/>
    <w:rsid w:val="001D140C"/>
    <w:rsid w:val="001D3A1F"/>
    <w:rsid w:val="001E5F78"/>
    <w:rsid w:val="00211702"/>
    <w:rsid w:val="00212EC8"/>
    <w:rsid w:val="0022349D"/>
    <w:rsid w:val="00225FE3"/>
    <w:rsid w:val="0024180F"/>
    <w:rsid w:val="00251B62"/>
    <w:rsid w:val="00274DD7"/>
    <w:rsid w:val="002813D4"/>
    <w:rsid w:val="002A2A84"/>
    <w:rsid w:val="002A4CCA"/>
    <w:rsid w:val="002B7F47"/>
    <w:rsid w:val="002C2FDE"/>
    <w:rsid w:val="002C5B4A"/>
    <w:rsid w:val="002E6D18"/>
    <w:rsid w:val="002F22C8"/>
    <w:rsid w:val="002F660C"/>
    <w:rsid w:val="002F7968"/>
    <w:rsid w:val="00300E8B"/>
    <w:rsid w:val="00322B32"/>
    <w:rsid w:val="00325158"/>
    <w:rsid w:val="003275A2"/>
    <w:rsid w:val="003A27C3"/>
    <w:rsid w:val="003C0D28"/>
    <w:rsid w:val="003C4E5A"/>
    <w:rsid w:val="003C55B3"/>
    <w:rsid w:val="003D154A"/>
    <w:rsid w:val="003F080D"/>
    <w:rsid w:val="00402E7C"/>
    <w:rsid w:val="00424BFE"/>
    <w:rsid w:val="00433344"/>
    <w:rsid w:val="00466CC3"/>
    <w:rsid w:val="0046719F"/>
    <w:rsid w:val="004942CA"/>
    <w:rsid w:val="004A2A57"/>
    <w:rsid w:val="004B79D6"/>
    <w:rsid w:val="004C0B8F"/>
    <w:rsid w:val="004E13F7"/>
    <w:rsid w:val="004E1FEC"/>
    <w:rsid w:val="004F47AC"/>
    <w:rsid w:val="004F71B7"/>
    <w:rsid w:val="005156CD"/>
    <w:rsid w:val="00524543"/>
    <w:rsid w:val="00550222"/>
    <w:rsid w:val="0055044E"/>
    <w:rsid w:val="0055133D"/>
    <w:rsid w:val="005B0292"/>
    <w:rsid w:val="005C13DA"/>
    <w:rsid w:val="005D6110"/>
    <w:rsid w:val="005E2EA6"/>
    <w:rsid w:val="005F3A07"/>
    <w:rsid w:val="006010F2"/>
    <w:rsid w:val="006033CC"/>
    <w:rsid w:val="00627A39"/>
    <w:rsid w:val="0063254E"/>
    <w:rsid w:val="00633E30"/>
    <w:rsid w:val="006569F5"/>
    <w:rsid w:val="00666382"/>
    <w:rsid w:val="00677D5E"/>
    <w:rsid w:val="00680CC9"/>
    <w:rsid w:val="0068712E"/>
    <w:rsid w:val="006B2865"/>
    <w:rsid w:val="006B295E"/>
    <w:rsid w:val="006B524E"/>
    <w:rsid w:val="006D0033"/>
    <w:rsid w:val="006E4995"/>
    <w:rsid w:val="006E679B"/>
    <w:rsid w:val="006F1886"/>
    <w:rsid w:val="006F69F9"/>
    <w:rsid w:val="00713EFA"/>
    <w:rsid w:val="007507AB"/>
    <w:rsid w:val="00766C82"/>
    <w:rsid w:val="00770C1B"/>
    <w:rsid w:val="00775244"/>
    <w:rsid w:val="00775A32"/>
    <w:rsid w:val="007C3332"/>
    <w:rsid w:val="007D4CAE"/>
    <w:rsid w:val="007F3534"/>
    <w:rsid w:val="00823615"/>
    <w:rsid w:val="00830C5F"/>
    <w:rsid w:val="008470E0"/>
    <w:rsid w:val="00851639"/>
    <w:rsid w:val="008524CD"/>
    <w:rsid w:val="00855A1B"/>
    <w:rsid w:val="008603C1"/>
    <w:rsid w:val="00864A6A"/>
    <w:rsid w:val="00884486"/>
    <w:rsid w:val="0089775B"/>
    <w:rsid w:val="008A7349"/>
    <w:rsid w:val="008B2AD4"/>
    <w:rsid w:val="008B7A1C"/>
    <w:rsid w:val="008C3190"/>
    <w:rsid w:val="008C53B2"/>
    <w:rsid w:val="008D794A"/>
    <w:rsid w:val="008F26CC"/>
    <w:rsid w:val="00900958"/>
    <w:rsid w:val="009271B8"/>
    <w:rsid w:val="00954A19"/>
    <w:rsid w:val="009831A5"/>
    <w:rsid w:val="009C6842"/>
    <w:rsid w:val="009E0069"/>
    <w:rsid w:val="00A043E9"/>
    <w:rsid w:val="00A0473B"/>
    <w:rsid w:val="00A05C74"/>
    <w:rsid w:val="00A07E47"/>
    <w:rsid w:val="00A17F5A"/>
    <w:rsid w:val="00A21A34"/>
    <w:rsid w:val="00A33647"/>
    <w:rsid w:val="00A41826"/>
    <w:rsid w:val="00A43E92"/>
    <w:rsid w:val="00A46A57"/>
    <w:rsid w:val="00A55537"/>
    <w:rsid w:val="00A67076"/>
    <w:rsid w:val="00A73614"/>
    <w:rsid w:val="00A906AC"/>
    <w:rsid w:val="00AE7895"/>
    <w:rsid w:val="00B01551"/>
    <w:rsid w:val="00B06CE1"/>
    <w:rsid w:val="00B07A94"/>
    <w:rsid w:val="00B15E60"/>
    <w:rsid w:val="00B17763"/>
    <w:rsid w:val="00B242B4"/>
    <w:rsid w:val="00B31E0A"/>
    <w:rsid w:val="00B60276"/>
    <w:rsid w:val="00BB5933"/>
    <w:rsid w:val="00BB6340"/>
    <w:rsid w:val="00C377C0"/>
    <w:rsid w:val="00C5262C"/>
    <w:rsid w:val="00C65A53"/>
    <w:rsid w:val="00C66708"/>
    <w:rsid w:val="00C77449"/>
    <w:rsid w:val="00C8506B"/>
    <w:rsid w:val="00C9333D"/>
    <w:rsid w:val="00CA2F4A"/>
    <w:rsid w:val="00CB0DEB"/>
    <w:rsid w:val="00CB7B73"/>
    <w:rsid w:val="00CC14A5"/>
    <w:rsid w:val="00CD174D"/>
    <w:rsid w:val="00CD1C02"/>
    <w:rsid w:val="00CD58EB"/>
    <w:rsid w:val="00CD6B0D"/>
    <w:rsid w:val="00CE2C34"/>
    <w:rsid w:val="00CE6323"/>
    <w:rsid w:val="00CE6603"/>
    <w:rsid w:val="00CE718B"/>
    <w:rsid w:val="00D16CC9"/>
    <w:rsid w:val="00D41773"/>
    <w:rsid w:val="00D45F5B"/>
    <w:rsid w:val="00D7083B"/>
    <w:rsid w:val="00D75453"/>
    <w:rsid w:val="00D80ED7"/>
    <w:rsid w:val="00DB2E93"/>
    <w:rsid w:val="00DB5A82"/>
    <w:rsid w:val="00DC2D57"/>
    <w:rsid w:val="00DC3965"/>
    <w:rsid w:val="00DC5963"/>
    <w:rsid w:val="00DD5505"/>
    <w:rsid w:val="00DE0667"/>
    <w:rsid w:val="00E162E7"/>
    <w:rsid w:val="00E170B6"/>
    <w:rsid w:val="00E201B8"/>
    <w:rsid w:val="00E2084C"/>
    <w:rsid w:val="00E23C7F"/>
    <w:rsid w:val="00E806F1"/>
    <w:rsid w:val="00EF1060"/>
    <w:rsid w:val="00EF5108"/>
    <w:rsid w:val="00F00AFD"/>
    <w:rsid w:val="00F12512"/>
    <w:rsid w:val="00F15352"/>
    <w:rsid w:val="00F23667"/>
    <w:rsid w:val="00F42964"/>
    <w:rsid w:val="00F53F27"/>
    <w:rsid w:val="00F81024"/>
    <w:rsid w:val="00F925FA"/>
    <w:rsid w:val="00FC31D9"/>
    <w:rsid w:val="00FD0B14"/>
    <w:rsid w:val="00FE23BF"/>
    <w:rsid w:val="00FE30B2"/>
    <w:rsid w:val="00FE4620"/>
    <w:rsid w:val="00FF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AEB41-C3E5-441E-87EC-397C3F29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7"/>
    <w:pPr>
      <w:ind w:left="720"/>
      <w:contextualSpacing/>
    </w:pPr>
  </w:style>
  <w:style w:type="character" w:styleId="Emphasis">
    <w:name w:val="Emphasis"/>
    <w:basedOn w:val="DefaultParagraphFont"/>
    <w:uiPriority w:val="20"/>
    <w:qFormat/>
    <w:rsid w:val="00A55537"/>
    <w:rPr>
      <w:i/>
      <w:iCs/>
    </w:rPr>
  </w:style>
  <w:style w:type="character" w:customStyle="1" w:styleId="apple-converted-space">
    <w:name w:val="apple-converted-space"/>
    <w:basedOn w:val="DefaultParagraphFont"/>
    <w:rsid w:val="00A55537"/>
  </w:style>
  <w:style w:type="paragraph" w:styleId="EndnoteText">
    <w:name w:val="endnote text"/>
    <w:basedOn w:val="Normal"/>
    <w:link w:val="EndnoteTextChar"/>
    <w:uiPriority w:val="99"/>
    <w:unhideWhenUsed/>
    <w:rsid w:val="00FE30B2"/>
    <w:pPr>
      <w:spacing w:after="0" w:line="240" w:lineRule="auto"/>
    </w:pPr>
    <w:rPr>
      <w:sz w:val="20"/>
      <w:szCs w:val="20"/>
    </w:rPr>
  </w:style>
  <w:style w:type="character" w:customStyle="1" w:styleId="EndnoteTextChar">
    <w:name w:val="Endnote Text Char"/>
    <w:basedOn w:val="DefaultParagraphFont"/>
    <w:link w:val="EndnoteText"/>
    <w:uiPriority w:val="99"/>
    <w:rsid w:val="00FE30B2"/>
    <w:rPr>
      <w:sz w:val="20"/>
      <w:szCs w:val="20"/>
    </w:rPr>
  </w:style>
  <w:style w:type="character" w:styleId="EndnoteReference">
    <w:name w:val="endnote reference"/>
    <w:basedOn w:val="DefaultParagraphFont"/>
    <w:uiPriority w:val="99"/>
    <w:semiHidden/>
    <w:unhideWhenUsed/>
    <w:rsid w:val="00FE30B2"/>
    <w:rPr>
      <w:vertAlign w:val="superscript"/>
    </w:rPr>
  </w:style>
  <w:style w:type="character" w:styleId="Hyperlink">
    <w:name w:val="Hyperlink"/>
    <w:basedOn w:val="DefaultParagraphFont"/>
    <w:uiPriority w:val="99"/>
    <w:unhideWhenUsed/>
    <w:rsid w:val="008F26CC"/>
    <w:rPr>
      <w:color w:val="0563C1" w:themeColor="hyperlink"/>
      <w:u w:val="single"/>
    </w:rPr>
  </w:style>
  <w:style w:type="paragraph" w:styleId="BalloonText">
    <w:name w:val="Balloon Text"/>
    <w:basedOn w:val="Normal"/>
    <w:link w:val="BalloonTextChar"/>
    <w:uiPriority w:val="99"/>
    <w:semiHidden/>
    <w:unhideWhenUsed/>
    <w:rsid w:val="00E23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8575">
      <w:bodyDiv w:val="1"/>
      <w:marLeft w:val="390"/>
      <w:marRight w:val="390"/>
      <w:marTop w:val="0"/>
      <w:marBottom w:val="0"/>
      <w:divBdr>
        <w:top w:val="none" w:sz="0" w:space="0" w:color="auto"/>
        <w:left w:val="none" w:sz="0" w:space="0" w:color="auto"/>
        <w:bottom w:val="none" w:sz="0" w:space="0" w:color="auto"/>
        <w:right w:val="none" w:sz="0" w:space="0" w:color="auto"/>
      </w:divBdr>
    </w:div>
    <w:div w:id="1486048865">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olswang.com/articles/2016/05/brexit-what-might-it-mean-for-contracts-and-disputes/" TargetMode="External"/><Relationship Id="rId2" Type="http://schemas.openxmlformats.org/officeDocument/2006/relationships/hyperlink" Target="http://eur-lex.europa.eu/LexUriServ/LexUriServ.do?uri=CELEX:32008R0593:EN:NOT" TargetMode="External"/><Relationship Id="rId1" Type="http://schemas.openxmlformats.org/officeDocument/2006/relationships/hyperlink" Target="http://webarchive.nationalarchives.gov.uk/20160105160709/http://www.ons.gov.uk/ons/rel/international-transactions/outward-foreign-affiliates-statistics/how-important-is-the-european-union-to-uk-trade-and-investment-/sty-eu.html" TargetMode="External"/><Relationship Id="rId5" Type="http://schemas.openxmlformats.org/officeDocument/2006/relationships/hyperlink" Target="https://www.dlapiper.com/en/us/insights/publications/2016/05/brexit-implications-for-commercial-contracts/" TargetMode="External"/><Relationship Id="rId4" Type="http://schemas.openxmlformats.org/officeDocument/2006/relationships/hyperlink" Target="http://www.allenovery.com/SiteCollectionDocuments/AO_03_Brexit_Specialist_paper_Jurisdiction_clau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3A72-6179-4C4D-BF53-1380C55E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Woods</dc:creator>
  <cp:keywords/>
  <dc:description/>
  <cp:lastModifiedBy>Sarah King</cp:lastModifiedBy>
  <cp:revision>2</cp:revision>
  <cp:lastPrinted>2016-07-15T11:02:00Z</cp:lastPrinted>
  <dcterms:created xsi:type="dcterms:W3CDTF">2016-08-18T11:13:00Z</dcterms:created>
  <dcterms:modified xsi:type="dcterms:W3CDTF">2016-08-18T11:13:00Z</dcterms:modified>
</cp:coreProperties>
</file>