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ADAB8" w14:textId="77777777" w:rsidR="00050D4B" w:rsidRPr="00C91B0E" w:rsidRDefault="00D073A5" w:rsidP="008A0967">
      <w:pPr>
        <w:spacing w:after="0" w:line="240" w:lineRule="auto"/>
        <w:jc w:val="center"/>
        <w:rPr>
          <w:rFonts w:eastAsia="Times New Roman" w:cs="Arial"/>
          <w:b/>
          <w:sz w:val="24"/>
          <w:szCs w:val="24"/>
          <w:lang w:eastAsia="en-GB"/>
        </w:rPr>
      </w:pPr>
      <w:r w:rsidRPr="00C91B0E">
        <w:rPr>
          <w:rFonts w:eastAsia="Times New Roman" w:cs="Arial"/>
          <w:b/>
          <w:sz w:val="24"/>
          <w:szCs w:val="24"/>
          <w:lang w:eastAsia="en-GB"/>
        </w:rPr>
        <w:t xml:space="preserve">Voting to Leave: </w:t>
      </w:r>
    </w:p>
    <w:p w14:paraId="72358E6C" w14:textId="77777777" w:rsidR="00050D4B" w:rsidRPr="00C91B0E" w:rsidRDefault="00050D4B" w:rsidP="008A0967">
      <w:pPr>
        <w:spacing w:after="0" w:line="240" w:lineRule="auto"/>
        <w:jc w:val="center"/>
        <w:rPr>
          <w:rFonts w:eastAsia="Times New Roman" w:cs="Arial"/>
          <w:b/>
          <w:sz w:val="24"/>
          <w:szCs w:val="24"/>
          <w:lang w:eastAsia="en-GB"/>
        </w:rPr>
      </w:pPr>
    </w:p>
    <w:p w14:paraId="0BA5AD50" w14:textId="1E72E8FE" w:rsidR="00082247" w:rsidRDefault="00497B91" w:rsidP="008A0967">
      <w:pPr>
        <w:spacing w:after="0" w:line="240" w:lineRule="auto"/>
        <w:jc w:val="center"/>
        <w:rPr>
          <w:rFonts w:eastAsia="Times New Roman" w:cs="Arial"/>
          <w:b/>
          <w:sz w:val="24"/>
          <w:szCs w:val="24"/>
          <w:lang w:eastAsia="en-GB"/>
        </w:rPr>
      </w:pPr>
      <w:r w:rsidRPr="00C91B0E">
        <w:rPr>
          <w:rFonts w:eastAsia="Times New Roman" w:cs="Arial"/>
          <w:b/>
          <w:sz w:val="24"/>
          <w:szCs w:val="24"/>
          <w:lang w:eastAsia="en-GB"/>
        </w:rPr>
        <w:t>L</w:t>
      </w:r>
      <w:r w:rsidR="00D073A5" w:rsidRPr="00C91B0E">
        <w:rPr>
          <w:rFonts w:eastAsia="Times New Roman" w:cs="Arial"/>
          <w:b/>
          <w:sz w:val="24"/>
          <w:szCs w:val="24"/>
          <w:lang w:eastAsia="en-GB"/>
        </w:rPr>
        <w:t xml:space="preserve">abour market </w:t>
      </w:r>
      <w:r w:rsidRPr="00C91B0E">
        <w:rPr>
          <w:rFonts w:eastAsia="Times New Roman" w:cs="Arial"/>
          <w:b/>
          <w:sz w:val="24"/>
          <w:szCs w:val="24"/>
          <w:lang w:eastAsia="en-GB"/>
        </w:rPr>
        <w:t>factors</w:t>
      </w:r>
      <w:r w:rsidR="00D073A5" w:rsidRPr="00C91B0E">
        <w:rPr>
          <w:rFonts w:eastAsia="Times New Roman" w:cs="Arial"/>
          <w:b/>
          <w:sz w:val="24"/>
          <w:szCs w:val="24"/>
          <w:lang w:eastAsia="en-GB"/>
        </w:rPr>
        <w:t xml:space="preserve"> and </w:t>
      </w:r>
      <w:r w:rsidR="00050D4B" w:rsidRPr="00C91B0E">
        <w:rPr>
          <w:rFonts w:eastAsia="Times New Roman" w:cs="Arial"/>
          <w:b/>
          <w:sz w:val="24"/>
          <w:szCs w:val="24"/>
          <w:lang w:eastAsia="en-GB"/>
        </w:rPr>
        <w:t>the Brexit vote</w:t>
      </w:r>
    </w:p>
    <w:p w14:paraId="39611005" w14:textId="068DC825" w:rsidR="003755CB" w:rsidRDefault="003755CB" w:rsidP="008A0967">
      <w:pPr>
        <w:spacing w:after="0" w:line="240" w:lineRule="auto"/>
        <w:jc w:val="center"/>
        <w:rPr>
          <w:rFonts w:eastAsia="Times New Roman" w:cs="Arial"/>
          <w:b/>
          <w:sz w:val="24"/>
          <w:szCs w:val="24"/>
          <w:lang w:eastAsia="en-GB"/>
        </w:rPr>
      </w:pPr>
    </w:p>
    <w:p w14:paraId="3632F3B6" w14:textId="77777777" w:rsidR="003755CB" w:rsidRPr="003755CB" w:rsidRDefault="003755CB" w:rsidP="003755CB">
      <w:pPr>
        <w:spacing w:after="0" w:line="240" w:lineRule="auto"/>
        <w:jc w:val="center"/>
        <w:rPr>
          <w:rFonts w:ascii="Times New Roman" w:eastAsia="Times New Roman" w:hAnsi="Times New Roman" w:cs="Times New Roman"/>
          <w:sz w:val="24"/>
          <w:szCs w:val="24"/>
          <w:lang w:eastAsia="en-GB"/>
        </w:rPr>
      </w:pPr>
      <w:r w:rsidRPr="003755CB">
        <w:rPr>
          <w:rFonts w:ascii="Times New Roman" w:eastAsia="Times New Roman" w:hAnsi="Times New Roman" w:cs="Times New Roman"/>
          <w:lang w:eastAsia="en-GB"/>
        </w:rPr>
        <w:t>Dr. Tim Vlandas</w:t>
      </w:r>
    </w:p>
    <w:p w14:paraId="5BBC6947" w14:textId="77777777" w:rsidR="003755CB" w:rsidRPr="003755CB" w:rsidRDefault="003755CB" w:rsidP="003755CB">
      <w:pPr>
        <w:spacing w:after="0" w:line="240" w:lineRule="auto"/>
        <w:jc w:val="center"/>
        <w:rPr>
          <w:rFonts w:ascii="Times New Roman" w:eastAsia="Times New Roman" w:hAnsi="Times New Roman" w:cs="Times New Roman"/>
          <w:sz w:val="24"/>
          <w:szCs w:val="24"/>
          <w:lang w:eastAsia="en-GB"/>
        </w:rPr>
      </w:pPr>
      <w:r w:rsidRPr="003755CB">
        <w:rPr>
          <w:rFonts w:ascii="Times New Roman" w:eastAsia="Times New Roman" w:hAnsi="Times New Roman" w:cs="Times New Roman"/>
          <w:lang w:eastAsia="en-GB"/>
        </w:rPr>
        <w:t>Lecturer in Politics</w:t>
      </w:r>
    </w:p>
    <w:p w14:paraId="661FB2AA" w14:textId="3AA7F89B" w:rsidR="003755CB" w:rsidRPr="003755CB" w:rsidRDefault="003755CB" w:rsidP="003755CB">
      <w:pPr>
        <w:spacing w:after="0" w:line="240" w:lineRule="auto"/>
        <w:jc w:val="center"/>
        <w:rPr>
          <w:rFonts w:ascii="Times New Roman" w:eastAsia="Times New Roman" w:hAnsi="Times New Roman" w:cs="Times New Roman"/>
          <w:sz w:val="24"/>
          <w:szCs w:val="24"/>
          <w:lang w:eastAsia="en-GB"/>
        </w:rPr>
      </w:pPr>
    </w:p>
    <w:p w14:paraId="691616D8" w14:textId="77777777" w:rsidR="003755CB" w:rsidRPr="003755CB" w:rsidRDefault="003755CB" w:rsidP="003755CB">
      <w:pPr>
        <w:spacing w:after="0" w:line="240" w:lineRule="auto"/>
        <w:jc w:val="center"/>
        <w:rPr>
          <w:rFonts w:ascii="Times New Roman" w:eastAsia="Times New Roman" w:hAnsi="Times New Roman" w:cs="Times New Roman"/>
          <w:sz w:val="24"/>
          <w:szCs w:val="24"/>
          <w:lang w:eastAsia="en-GB"/>
        </w:rPr>
      </w:pPr>
      <w:r w:rsidRPr="003755CB">
        <w:rPr>
          <w:rFonts w:ascii="Times New Roman" w:eastAsia="Times New Roman" w:hAnsi="Times New Roman" w:cs="Times New Roman"/>
          <w:lang w:eastAsia="en-GB"/>
        </w:rPr>
        <w:t>University of Reading, Dept of Politics and International Relations</w:t>
      </w:r>
    </w:p>
    <w:p w14:paraId="0F775CAD" w14:textId="77777777" w:rsidR="003755CB" w:rsidRPr="003755CB" w:rsidRDefault="003755CB" w:rsidP="003755CB">
      <w:pPr>
        <w:spacing w:after="0" w:line="240" w:lineRule="auto"/>
        <w:jc w:val="center"/>
        <w:rPr>
          <w:rFonts w:ascii="Times New Roman" w:eastAsia="Times New Roman" w:hAnsi="Times New Roman" w:cs="Times New Roman"/>
          <w:sz w:val="24"/>
          <w:szCs w:val="24"/>
          <w:lang w:eastAsia="en-GB"/>
        </w:rPr>
      </w:pPr>
      <w:r w:rsidRPr="003755CB">
        <w:rPr>
          <w:rFonts w:ascii="Times New Roman" w:eastAsia="Times New Roman" w:hAnsi="Times New Roman" w:cs="Times New Roman"/>
          <w:lang w:eastAsia="en-GB"/>
        </w:rPr>
        <w:t>Email: t.r.g.vlandas@reading.ac.uk</w:t>
      </w:r>
    </w:p>
    <w:p w14:paraId="0843F7B4" w14:textId="77777777" w:rsidR="003755CB" w:rsidRPr="00C91B0E" w:rsidRDefault="003755CB" w:rsidP="008A0967">
      <w:pPr>
        <w:spacing w:after="0" w:line="240" w:lineRule="auto"/>
        <w:jc w:val="center"/>
        <w:rPr>
          <w:rFonts w:eastAsia="Times New Roman" w:cs="Arial"/>
          <w:b/>
          <w:sz w:val="24"/>
          <w:szCs w:val="24"/>
          <w:lang w:eastAsia="en-GB"/>
        </w:rPr>
      </w:pPr>
    </w:p>
    <w:p w14:paraId="6DF69513" w14:textId="77777777" w:rsidR="00F22C15" w:rsidRPr="00C91B0E" w:rsidRDefault="00F22C15" w:rsidP="00050D4B">
      <w:pPr>
        <w:spacing w:after="0" w:line="240" w:lineRule="auto"/>
        <w:jc w:val="center"/>
        <w:rPr>
          <w:rFonts w:eastAsia="Times New Roman" w:cs="Arial"/>
          <w:b/>
          <w:sz w:val="24"/>
          <w:szCs w:val="24"/>
          <w:lang w:eastAsia="en-GB"/>
        </w:rPr>
      </w:pPr>
    </w:p>
    <w:p w14:paraId="27C1F0E4" w14:textId="77777777" w:rsidR="00D055F5" w:rsidRPr="00C91B0E" w:rsidRDefault="00D055F5" w:rsidP="00050D4B">
      <w:pPr>
        <w:spacing w:after="0" w:line="240" w:lineRule="auto"/>
        <w:jc w:val="center"/>
        <w:rPr>
          <w:rFonts w:eastAsia="Times New Roman" w:cs="Arial"/>
          <w:b/>
          <w:sz w:val="24"/>
          <w:szCs w:val="24"/>
          <w:lang w:eastAsia="en-GB"/>
        </w:rPr>
      </w:pPr>
    </w:p>
    <w:p w14:paraId="56431F63" w14:textId="77777777" w:rsidR="00050D4B" w:rsidRPr="00C91B0E" w:rsidRDefault="00050D4B" w:rsidP="00050D4B">
      <w:pPr>
        <w:spacing w:after="0" w:line="240" w:lineRule="auto"/>
        <w:jc w:val="center"/>
        <w:rPr>
          <w:rFonts w:eastAsia="Times New Roman" w:cs="Arial"/>
          <w:b/>
          <w:sz w:val="24"/>
          <w:szCs w:val="24"/>
          <w:lang w:eastAsia="en-GB"/>
        </w:rPr>
      </w:pPr>
    </w:p>
    <w:p w14:paraId="6817FA85" w14:textId="77777777" w:rsidR="00F22C15" w:rsidRPr="00C91B0E" w:rsidRDefault="00F22C15" w:rsidP="00050D4B">
      <w:pPr>
        <w:spacing w:after="0" w:line="240" w:lineRule="auto"/>
        <w:jc w:val="center"/>
        <w:rPr>
          <w:rFonts w:eastAsia="Times New Roman" w:cs="Arial"/>
          <w:b/>
          <w:sz w:val="24"/>
          <w:szCs w:val="24"/>
          <w:lang w:eastAsia="en-GB"/>
        </w:rPr>
      </w:pPr>
    </w:p>
    <w:p w14:paraId="7AF2AD2F" w14:textId="43B514D3" w:rsidR="006C192B" w:rsidRPr="00C91B0E" w:rsidRDefault="00FC7E06" w:rsidP="008A0967">
      <w:pPr>
        <w:spacing w:after="0" w:line="240" w:lineRule="auto"/>
        <w:rPr>
          <w:rFonts w:eastAsia="Times New Roman" w:cs="Arial"/>
          <w:sz w:val="24"/>
          <w:szCs w:val="24"/>
          <w:lang w:eastAsia="en-GB"/>
        </w:rPr>
      </w:pPr>
      <w:bookmarkStart w:id="0" w:name="_GoBack"/>
      <w:r w:rsidRPr="00C91B0E">
        <w:rPr>
          <w:rFonts w:eastAsia="Times New Roman" w:cs="Arial"/>
          <w:sz w:val="24"/>
          <w:szCs w:val="24"/>
          <w:lang w:eastAsia="en-GB"/>
        </w:rPr>
        <w:t xml:space="preserve">The victory of the Brexit camp in the recent UK referendum on whether to stay or leave the European Union (EU) represents a turning point in the history of EU integration. </w:t>
      </w:r>
      <w:r w:rsidR="006C192B" w:rsidRPr="00C91B0E">
        <w:rPr>
          <w:rFonts w:eastAsia="Times New Roman" w:cs="Arial"/>
          <w:sz w:val="24"/>
          <w:szCs w:val="24"/>
          <w:lang w:eastAsia="en-GB"/>
        </w:rPr>
        <w:t xml:space="preserve">In this short </w:t>
      </w:r>
      <w:r w:rsidR="00497B91" w:rsidRPr="00C91B0E">
        <w:rPr>
          <w:rFonts w:eastAsia="Times New Roman" w:cs="Arial"/>
          <w:sz w:val="24"/>
          <w:szCs w:val="24"/>
          <w:lang w:eastAsia="en-GB"/>
        </w:rPr>
        <w:t xml:space="preserve">empirical </w:t>
      </w:r>
      <w:r w:rsidR="006C192B" w:rsidRPr="00C91B0E">
        <w:rPr>
          <w:rFonts w:eastAsia="Times New Roman" w:cs="Arial"/>
          <w:sz w:val="24"/>
          <w:szCs w:val="24"/>
          <w:lang w:eastAsia="en-GB"/>
        </w:rPr>
        <w:t xml:space="preserve">contribution, I </w:t>
      </w:r>
      <w:r w:rsidR="0069013A" w:rsidRPr="00C91B0E">
        <w:rPr>
          <w:rFonts w:eastAsia="Times New Roman" w:cs="Arial"/>
          <w:sz w:val="24"/>
          <w:szCs w:val="24"/>
          <w:lang w:eastAsia="en-GB"/>
        </w:rPr>
        <w:t>explore</w:t>
      </w:r>
      <w:r w:rsidR="006C192B" w:rsidRPr="00C91B0E">
        <w:rPr>
          <w:rFonts w:eastAsia="Times New Roman" w:cs="Arial"/>
          <w:sz w:val="24"/>
          <w:szCs w:val="24"/>
          <w:lang w:eastAsia="en-GB"/>
        </w:rPr>
        <w:t xml:space="preserve"> the determinants of individual </w:t>
      </w:r>
      <w:r w:rsidR="00497B91" w:rsidRPr="00C91B0E">
        <w:rPr>
          <w:rFonts w:eastAsia="Times New Roman" w:cs="Arial"/>
          <w:sz w:val="24"/>
          <w:szCs w:val="24"/>
          <w:lang w:eastAsia="en-GB"/>
        </w:rPr>
        <w:t>support</w:t>
      </w:r>
      <w:r w:rsidR="006C192B" w:rsidRPr="00C91B0E">
        <w:rPr>
          <w:rFonts w:eastAsia="Times New Roman" w:cs="Arial"/>
          <w:sz w:val="24"/>
          <w:szCs w:val="24"/>
          <w:lang w:eastAsia="en-GB"/>
        </w:rPr>
        <w:t xml:space="preserve"> for Brexit</w:t>
      </w:r>
      <w:r w:rsidR="0069013A" w:rsidRPr="00C91B0E">
        <w:rPr>
          <w:rFonts w:eastAsia="Times New Roman" w:cs="Arial"/>
          <w:sz w:val="24"/>
          <w:szCs w:val="24"/>
          <w:lang w:eastAsia="en-GB"/>
        </w:rPr>
        <w:t xml:space="preserve">. I focus on </w:t>
      </w:r>
      <w:r w:rsidR="00497B91" w:rsidRPr="00C91B0E">
        <w:rPr>
          <w:rFonts w:eastAsia="Times New Roman" w:cs="Arial"/>
          <w:sz w:val="24"/>
          <w:szCs w:val="24"/>
          <w:lang w:eastAsia="en-GB"/>
        </w:rPr>
        <w:t>several labour market</w:t>
      </w:r>
      <w:r w:rsidR="0069013A" w:rsidRPr="00C91B0E">
        <w:rPr>
          <w:rFonts w:eastAsia="Times New Roman" w:cs="Arial"/>
          <w:sz w:val="24"/>
          <w:szCs w:val="24"/>
          <w:lang w:eastAsia="en-GB"/>
        </w:rPr>
        <w:t xml:space="preserve"> </w:t>
      </w:r>
      <w:r w:rsidR="00497B91" w:rsidRPr="00C91B0E">
        <w:rPr>
          <w:rFonts w:eastAsia="Times New Roman" w:cs="Arial"/>
          <w:sz w:val="24"/>
          <w:szCs w:val="24"/>
          <w:lang w:eastAsia="en-GB"/>
        </w:rPr>
        <w:t>factors</w:t>
      </w:r>
      <w:r w:rsidR="006C192B" w:rsidRPr="00C91B0E">
        <w:rPr>
          <w:rFonts w:eastAsia="Times New Roman" w:cs="Arial"/>
          <w:sz w:val="24"/>
          <w:szCs w:val="24"/>
          <w:lang w:eastAsia="en-GB"/>
        </w:rPr>
        <w:t xml:space="preserve">: income, unemployment, poverty, </w:t>
      </w:r>
      <w:r w:rsidR="0069013A" w:rsidRPr="00C91B0E">
        <w:rPr>
          <w:rFonts w:eastAsia="Times New Roman" w:cs="Arial"/>
          <w:sz w:val="24"/>
          <w:szCs w:val="24"/>
          <w:lang w:eastAsia="en-GB"/>
        </w:rPr>
        <w:t xml:space="preserve">the level and type of education, and occupations; that have all received significant attention </w:t>
      </w:r>
      <w:r w:rsidR="006C192B" w:rsidRPr="00C91B0E">
        <w:rPr>
          <w:rFonts w:eastAsia="Times New Roman" w:cs="Arial"/>
          <w:sz w:val="24"/>
          <w:szCs w:val="24"/>
          <w:lang w:eastAsia="en-GB"/>
        </w:rPr>
        <w:t xml:space="preserve">in broader political economy debates about the </w:t>
      </w:r>
      <w:r w:rsidR="0069013A" w:rsidRPr="00C91B0E">
        <w:rPr>
          <w:rFonts w:eastAsia="Times New Roman" w:cs="Arial"/>
          <w:sz w:val="24"/>
          <w:szCs w:val="24"/>
          <w:lang w:eastAsia="en-GB"/>
        </w:rPr>
        <w:t>influence</w:t>
      </w:r>
      <w:r w:rsidR="006C192B" w:rsidRPr="00C91B0E">
        <w:rPr>
          <w:rFonts w:eastAsia="Times New Roman" w:cs="Arial"/>
          <w:sz w:val="24"/>
          <w:szCs w:val="24"/>
          <w:lang w:eastAsia="en-GB"/>
        </w:rPr>
        <w:t xml:space="preserve"> of labour market factors </w:t>
      </w:r>
      <w:r w:rsidR="0069013A" w:rsidRPr="00C91B0E">
        <w:rPr>
          <w:rFonts w:eastAsia="Times New Roman" w:cs="Arial"/>
          <w:sz w:val="24"/>
          <w:szCs w:val="24"/>
          <w:lang w:eastAsia="en-GB"/>
        </w:rPr>
        <w:t>on</w:t>
      </w:r>
      <w:r w:rsidR="006C192B" w:rsidRPr="00C91B0E">
        <w:rPr>
          <w:rFonts w:eastAsia="Times New Roman" w:cs="Arial"/>
          <w:sz w:val="24"/>
          <w:szCs w:val="24"/>
          <w:lang w:eastAsia="en-GB"/>
        </w:rPr>
        <w:t xml:space="preserve"> individual preferences.</w:t>
      </w:r>
    </w:p>
    <w:p w14:paraId="4AEAE15B" w14:textId="77777777" w:rsidR="006C192B" w:rsidRPr="00C91B0E" w:rsidRDefault="006C192B" w:rsidP="008A0967">
      <w:pPr>
        <w:spacing w:after="0" w:line="240" w:lineRule="auto"/>
        <w:rPr>
          <w:rFonts w:eastAsia="Times New Roman" w:cs="Arial"/>
          <w:sz w:val="24"/>
          <w:szCs w:val="24"/>
          <w:lang w:eastAsia="en-GB"/>
        </w:rPr>
      </w:pPr>
    </w:p>
    <w:p w14:paraId="2FD42E83" w14:textId="21D56907" w:rsidR="0069013A" w:rsidRPr="00C91B0E" w:rsidRDefault="0069013A" w:rsidP="008A0967">
      <w:pPr>
        <w:spacing w:after="0" w:line="240" w:lineRule="auto"/>
        <w:rPr>
          <w:rFonts w:eastAsia="Times New Roman" w:cs="Arial"/>
          <w:sz w:val="24"/>
          <w:szCs w:val="24"/>
          <w:lang w:eastAsia="en-GB"/>
        </w:rPr>
      </w:pPr>
      <w:r w:rsidRPr="00C91B0E">
        <w:rPr>
          <w:rFonts w:eastAsia="Times New Roman" w:cs="Arial"/>
          <w:sz w:val="24"/>
          <w:szCs w:val="24"/>
          <w:lang w:eastAsia="en-GB"/>
        </w:rPr>
        <w:t xml:space="preserve">My analysis pays particular attention to </w:t>
      </w:r>
      <w:r w:rsidR="00497B91" w:rsidRPr="00C91B0E">
        <w:rPr>
          <w:rFonts w:eastAsia="Times New Roman" w:cs="Arial"/>
          <w:sz w:val="24"/>
          <w:szCs w:val="24"/>
          <w:lang w:eastAsia="en-GB"/>
        </w:rPr>
        <w:t xml:space="preserve">the labour market position of individuals </w:t>
      </w:r>
      <w:r w:rsidRPr="00C91B0E">
        <w:rPr>
          <w:rFonts w:eastAsia="Times New Roman" w:cs="Arial"/>
          <w:sz w:val="24"/>
          <w:szCs w:val="24"/>
          <w:lang w:eastAsia="en-GB"/>
        </w:rPr>
        <w:t xml:space="preserve">and </w:t>
      </w:r>
      <w:r w:rsidR="00497B91" w:rsidRPr="00C91B0E">
        <w:rPr>
          <w:rFonts w:eastAsia="Times New Roman" w:cs="Arial"/>
          <w:sz w:val="24"/>
          <w:szCs w:val="24"/>
          <w:lang w:eastAsia="en-GB"/>
        </w:rPr>
        <w:t xml:space="preserve">the labour market </w:t>
      </w:r>
      <w:r w:rsidRPr="00C91B0E">
        <w:rPr>
          <w:rFonts w:eastAsia="Times New Roman" w:cs="Arial"/>
          <w:sz w:val="24"/>
          <w:szCs w:val="24"/>
          <w:lang w:eastAsia="en-GB"/>
        </w:rPr>
        <w:t>risks</w:t>
      </w:r>
      <w:r w:rsidR="00497B91" w:rsidRPr="00C91B0E">
        <w:rPr>
          <w:rFonts w:eastAsia="Times New Roman" w:cs="Arial"/>
          <w:sz w:val="24"/>
          <w:szCs w:val="24"/>
          <w:lang w:eastAsia="en-GB"/>
        </w:rPr>
        <w:t xml:space="preserve"> they face</w:t>
      </w:r>
      <w:r w:rsidRPr="00C91B0E">
        <w:rPr>
          <w:rFonts w:eastAsia="Times New Roman" w:cs="Arial"/>
          <w:sz w:val="24"/>
          <w:szCs w:val="24"/>
          <w:lang w:eastAsia="en-GB"/>
        </w:rPr>
        <w:t xml:space="preserve">. </w:t>
      </w:r>
      <w:r w:rsidR="00497B91" w:rsidRPr="00C91B0E">
        <w:rPr>
          <w:rFonts w:eastAsia="Times New Roman" w:cs="Arial"/>
          <w:sz w:val="24"/>
          <w:szCs w:val="24"/>
          <w:lang w:eastAsia="en-GB"/>
        </w:rPr>
        <w:t xml:space="preserve">I look at how the risk of being unemployed, the risk of being in poverty and housing risk (whether or not the individual rents her accommodation) influence support for Brexit. </w:t>
      </w:r>
      <w:r w:rsidRPr="00C91B0E">
        <w:rPr>
          <w:rFonts w:eastAsia="Times New Roman" w:cs="Arial"/>
          <w:sz w:val="24"/>
          <w:szCs w:val="24"/>
          <w:lang w:eastAsia="en-GB"/>
        </w:rPr>
        <w:t xml:space="preserve">I </w:t>
      </w:r>
      <w:r w:rsidR="00497B91" w:rsidRPr="00C91B0E">
        <w:rPr>
          <w:rFonts w:eastAsia="Times New Roman" w:cs="Arial"/>
          <w:sz w:val="24"/>
          <w:szCs w:val="24"/>
          <w:lang w:eastAsia="en-GB"/>
        </w:rPr>
        <w:t xml:space="preserve">also </w:t>
      </w:r>
      <w:r w:rsidRPr="00C91B0E">
        <w:rPr>
          <w:rFonts w:eastAsia="Times New Roman" w:cs="Arial"/>
          <w:sz w:val="24"/>
          <w:szCs w:val="24"/>
          <w:lang w:eastAsia="en-GB"/>
        </w:rPr>
        <w:t xml:space="preserve">investigate the impact of </w:t>
      </w:r>
      <w:r w:rsidR="00961908" w:rsidRPr="00C91B0E">
        <w:rPr>
          <w:rFonts w:eastAsia="Times New Roman" w:cs="Arial"/>
          <w:sz w:val="24"/>
          <w:szCs w:val="24"/>
          <w:lang w:eastAsia="en-GB"/>
        </w:rPr>
        <w:t xml:space="preserve">income level and source, of </w:t>
      </w:r>
      <w:r w:rsidRPr="00C91B0E">
        <w:rPr>
          <w:rFonts w:eastAsia="Times New Roman" w:cs="Arial"/>
          <w:sz w:val="24"/>
          <w:szCs w:val="24"/>
          <w:lang w:eastAsia="en-GB"/>
        </w:rPr>
        <w:t xml:space="preserve">being in low </w:t>
      </w:r>
      <w:r w:rsidR="00497B91" w:rsidRPr="00C91B0E">
        <w:rPr>
          <w:rFonts w:eastAsia="Times New Roman" w:cs="Arial"/>
          <w:sz w:val="24"/>
          <w:szCs w:val="24"/>
          <w:lang w:eastAsia="en-GB"/>
        </w:rPr>
        <w:t>skills</w:t>
      </w:r>
      <w:r w:rsidR="00961908" w:rsidRPr="00C91B0E">
        <w:rPr>
          <w:rFonts w:eastAsia="Times New Roman" w:cs="Arial"/>
          <w:sz w:val="24"/>
          <w:szCs w:val="24"/>
          <w:lang w:eastAsia="en-GB"/>
        </w:rPr>
        <w:t xml:space="preserve"> </w:t>
      </w:r>
      <w:r w:rsidRPr="00C91B0E">
        <w:rPr>
          <w:rFonts w:eastAsia="Times New Roman" w:cs="Arial"/>
          <w:sz w:val="24"/>
          <w:szCs w:val="24"/>
          <w:lang w:eastAsia="en-GB"/>
        </w:rPr>
        <w:t xml:space="preserve">occupations </w:t>
      </w:r>
      <w:r w:rsidR="00961908" w:rsidRPr="00C91B0E">
        <w:rPr>
          <w:rFonts w:eastAsia="Times New Roman" w:cs="Arial"/>
          <w:sz w:val="24"/>
          <w:szCs w:val="24"/>
          <w:lang w:eastAsia="en-GB"/>
        </w:rPr>
        <w:t xml:space="preserve">where </w:t>
      </w:r>
      <w:r w:rsidRPr="00C91B0E">
        <w:rPr>
          <w:rFonts w:eastAsia="Times New Roman" w:cs="Arial"/>
          <w:sz w:val="24"/>
          <w:szCs w:val="24"/>
          <w:lang w:eastAsia="en-GB"/>
        </w:rPr>
        <w:t>immigration</w:t>
      </w:r>
      <w:r w:rsidR="00961908" w:rsidRPr="00C91B0E">
        <w:rPr>
          <w:rFonts w:eastAsia="Times New Roman" w:cs="Arial"/>
          <w:sz w:val="24"/>
          <w:szCs w:val="24"/>
          <w:lang w:eastAsia="en-GB"/>
        </w:rPr>
        <w:t xml:space="preserve"> has been particularly salient</w:t>
      </w:r>
      <w:r w:rsidRPr="00C91B0E">
        <w:rPr>
          <w:rFonts w:eastAsia="Times New Roman" w:cs="Arial"/>
          <w:sz w:val="24"/>
          <w:szCs w:val="24"/>
          <w:lang w:eastAsia="en-GB"/>
        </w:rPr>
        <w:t xml:space="preserve">, and </w:t>
      </w:r>
      <w:r w:rsidR="00961908" w:rsidRPr="00C91B0E">
        <w:rPr>
          <w:rFonts w:eastAsia="Times New Roman" w:cs="Arial"/>
          <w:sz w:val="24"/>
          <w:szCs w:val="24"/>
          <w:lang w:eastAsia="en-GB"/>
        </w:rPr>
        <w:t xml:space="preserve">of </w:t>
      </w:r>
      <w:r w:rsidRPr="00C91B0E">
        <w:rPr>
          <w:rFonts w:eastAsia="Times New Roman" w:cs="Arial"/>
          <w:sz w:val="24"/>
          <w:szCs w:val="24"/>
          <w:lang w:eastAsia="en-GB"/>
        </w:rPr>
        <w:t xml:space="preserve">having studied a higher education degree that is ‘protective’ (medicine or law). </w:t>
      </w:r>
    </w:p>
    <w:p w14:paraId="7A0911E1" w14:textId="77777777" w:rsidR="0069013A" w:rsidRPr="00C91B0E" w:rsidRDefault="0069013A" w:rsidP="008A0967">
      <w:pPr>
        <w:spacing w:after="0" w:line="240" w:lineRule="auto"/>
        <w:rPr>
          <w:rFonts w:eastAsia="Times New Roman" w:cs="Arial"/>
          <w:sz w:val="24"/>
          <w:szCs w:val="24"/>
          <w:lang w:eastAsia="en-GB"/>
        </w:rPr>
      </w:pPr>
    </w:p>
    <w:p w14:paraId="132AEE3D" w14:textId="4B8A8337" w:rsidR="00961908" w:rsidRPr="00C91B0E" w:rsidRDefault="0069013A" w:rsidP="008A0967">
      <w:pPr>
        <w:spacing w:after="0" w:line="240" w:lineRule="auto"/>
        <w:rPr>
          <w:rFonts w:eastAsia="Times New Roman" w:cs="Arial"/>
          <w:sz w:val="24"/>
          <w:szCs w:val="24"/>
          <w:lang w:eastAsia="en-GB"/>
        </w:rPr>
      </w:pPr>
      <w:r w:rsidRPr="00C91B0E">
        <w:rPr>
          <w:rFonts w:eastAsia="Times New Roman" w:cs="Arial"/>
          <w:sz w:val="24"/>
          <w:szCs w:val="24"/>
          <w:lang w:eastAsia="en-GB"/>
        </w:rPr>
        <w:t xml:space="preserve">Results from a logistic regression analysis </w:t>
      </w:r>
      <w:r w:rsidR="00E045FB" w:rsidRPr="00C91B0E">
        <w:rPr>
          <w:rFonts w:eastAsia="Times New Roman" w:cs="Arial"/>
          <w:sz w:val="24"/>
          <w:szCs w:val="24"/>
          <w:lang w:eastAsia="en-GB"/>
        </w:rPr>
        <w:t xml:space="preserve">of the </w:t>
      </w:r>
      <w:r w:rsidR="00E045FB" w:rsidRPr="00C91B0E">
        <w:rPr>
          <w:sz w:val="24"/>
          <w:szCs w:val="24"/>
        </w:rPr>
        <w:t>British Election Study</w:t>
      </w:r>
      <w:r w:rsidR="00E045FB" w:rsidRPr="00C91B0E">
        <w:rPr>
          <w:rFonts w:eastAsia="Times New Roman" w:cs="Arial"/>
          <w:sz w:val="24"/>
          <w:szCs w:val="24"/>
          <w:lang w:eastAsia="en-GB"/>
        </w:rPr>
        <w:t xml:space="preserve"> </w:t>
      </w:r>
      <w:r w:rsidRPr="00C91B0E">
        <w:rPr>
          <w:rFonts w:eastAsia="Times New Roman" w:cs="Arial"/>
          <w:sz w:val="24"/>
          <w:szCs w:val="24"/>
          <w:lang w:eastAsia="en-GB"/>
        </w:rPr>
        <w:t xml:space="preserve">suggest </w:t>
      </w:r>
      <w:r w:rsidR="00A61A5C" w:rsidRPr="00C91B0E">
        <w:rPr>
          <w:rFonts w:eastAsia="Times New Roman" w:cs="Arial"/>
          <w:sz w:val="24"/>
          <w:szCs w:val="24"/>
          <w:lang w:eastAsia="en-GB"/>
        </w:rPr>
        <w:t>that gender has no effect but age matters in the anticipated way</w:t>
      </w:r>
      <w:r w:rsidRPr="00C91B0E">
        <w:rPr>
          <w:rFonts w:eastAsia="Times New Roman" w:cs="Arial"/>
          <w:sz w:val="24"/>
          <w:szCs w:val="24"/>
          <w:lang w:eastAsia="en-GB"/>
        </w:rPr>
        <w:t>. W</w:t>
      </w:r>
      <w:r w:rsidR="00A61A5C" w:rsidRPr="00C91B0E">
        <w:rPr>
          <w:rFonts w:eastAsia="Times New Roman" w:cs="Arial"/>
          <w:sz w:val="24"/>
          <w:szCs w:val="24"/>
          <w:lang w:eastAsia="en-GB"/>
        </w:rPr>
        <w:t xml:space="preserve">hite respondents, those at higher risk of poverty, below the median income, with no formal education are more likely to vote for Brexit. Surprisingly, those that self-identify as </w:t>
      </w:r>
      <w:r w:rsidR="00284F83" w:rsidRPr="00C91B0E">
        <w:rPr>
          <w:rFonts w:eastAsia="Times New Roman" w:cs="Arial"/>
          <w:sz w:val="24"/>
          <w:szCs w:val="24"/>
          <w:lang w:eastAsia="en-GB"/>
        </w:rPr>
        <w:t xml:space="preserve">being </w:t>
      </w:r>
      <w:r w:rsidR="00A61A5C" w:rsidRPr="00C91B0E">
        <w:rPr>
          <w:rFonts w:eastAsia="Times New Roman" w:cs="Arial"/>
          <w:sz w:val="24"/>
          <w:szCs w:val="24"/>
          <w:lang w:eastAsia="en-GB"/>
        </w:rPr>
        <w:t xml:space="preserve">at greater risk of unemployment and those that rent </w:t>
      </w:r>
      <w:r w:rsidR="00284F83" w:rsidRPr="00C91B0E">
        <w:rPr>
          <w:rFonts w:eastAsia="Times New Roman" w:cs="Arial"/>
          <w:sz w:val="24"/>
          <w:szCs w:val="24"/>
          <w:lang w:eastAsia="en-GB"/>
        </w:rPr>
        <w:t xml:space="preserve">their accommodation </w:t>
      </w:r>
      <w:r w:rsidR="00A61A5C" w:rsidRPr="00C91B0E">
        <w:rPr>
          <w:rFonts w:eastAsia="Times New Roman" w:cs="Arial"/>
          <w:sz w:val="24"/>
          <w:szCs w:val="24"/>
          <w:lang w:eastAsia="en-GB"/>
        </w:rPr>
        <w:t xml:space="preserve">are less likely to vote for Brexit. </w:t>
      </w:r>
      <w:r w:rsidR="004D359D" w:rsidRPr="00C91B0E">
        <w:rPr>
          <w:rFonts w:eastAsia="Times New Roman" w:cs="Arial"/>
          <w:sz w:val="24"/>
          <w:szCs w:val="24"/>
          <w:lang w:eastAsia="en-GB"/>
        </w:rPr>
        <w:t>Finally, w</w:t>
      </w:r>
      <w:r w:rsidR="00A61A5C" w:rsidRPr="00C91B0E">
        <w:rPr>
          <w:rFonts w:eastAsia="Times New Roman" w:cs="Arial"/>
          <w:sz w:val="24"/>
          <w:szCs w:val="24"/>
          <w:lang w:eastAsia="en-GB"/>
        </w:rPr>
        <w:t>orkers in routine or low occupations</w:t>
      </w:r>
      <w:r w:rsidR="00284F83" w:rsidRPr="00C91B0E">
        <w:rPr>
          <w:rFonts w:eastAsia="Times New Roman" w:cs="Arial"/>
          <w:sz w:val="24"/>
          <w:szCs w:val="24"/>
          <w:lang w:eastAsia="en-GB"/>
        </w:rPr>
        <w:t>,</w:t>
      </w:r>
      <w:r w:rsidR="00A61A5C" w:rsidRPr="00C91B0E">
        <w:rPr>
          <w:rFonts w:eastAsia="Times New Roman" w:cs="Arial"/>
          <w:sz w:val="24"/>
          <w:szCs w:val="24"/>
          <w:lang w:eastAsia="en-GB"/>
        </w:rPr>
        <w:t xml:space="preserve"> </w:t>
      </w:r>
      <w:r w:rsidR="00284F83" w:rsidRPr="00C91B0E">
        <w:rPr>
          <w:rFonts w:eastAsia="Times New Roman" w:cs="Arial"/>
          <w:sz w:val="24"/>
          <w:szCs w:val="24"/>
          <w:lang w:eastAsia="en-GB"/>
        </w:rPr>
        <w:t xml:space="preserve">which </w:t>
      </w:r>
      <w:r w:rsidRPr="00C91B0E">
        <w:rPr>
          <w:rFonts w:eastAsia="Times New Roman" w:cs="Arial"/>
          <w:sz w:val="24"/>
          <w:szCs w:val="24"/>
          <w:lang w:eastAsia="en-GB"/>
        </w:rPr>
        <w:t xml:space="preserve">I show </w:t>
      </w:r>
      <w:r w:rsidR="00A61A5C" w:rsidRPr="00C91B0E">
        <w:rPr>
          <w:rFonts w:eastAsia="Times New Roman" w:cs="Arial"/>
          <w:sz w:val="24"/>
          <w:szCs w:val="24"/>
          <w:lang w:eastAsia="en-GB"/>
        </w:rPr>
        <w:t>have been more exposed to immigration</w:t>
      </w:r>
      <w:r w:rsidR="00284F83" w:rsidRPr="00C91B0E">
        <w:rPr>
          <w:rFonts w:eastAsia="Times New Roman" w:cs="Arial"/>
          <w:sz w:val="24"/>
          <w:szCs w:val="24"/>
          <w:lang w:eastAsia="en-GB"/>
        </w:rPr>
        <w:t>,</w:t>
      </w:r>
      <w:r w:rsidR="00A61A5C" w:rsidRPr="00C91B0E">
        <w:rPr>
          <w:rFonts w:eastAsia="Times New Roman" w:cs="Arial"/>
          <w:sz w:val="24"/>
          <w:szCs w:val="24"/>
          <w:lang w:eastAsia="en-GB"/>
        </w:rPr>
        <w:t xml:space="preserve"> are more likely to vote for Brexit</w:t>
      </w:r>
      <w:r w:rsidR="00284F83" w:rsidRPr="00C91B0E">
        <w:rPr>
          <w:rFonts w:eastAsia="Times New Roman" w:cs="Arial"/>
          <w:sz w:val="24"/>
          <w:szCs w:val="24"/>
          <w:lang w:eastAsia="en-GB"/>
        </w:rPr>
        <w:t>,</w:t>
      </w:r>
      <w:r w:rsidR="00A61A5C" w:rsidRPr="00C91B0E">
        <w:rPr>
          <w:rFonts w:eastAsia="Times New Roman" w:cs="Arial"/>
          <w:sz w:val="24"/>
          <w:szCs w:val="24"/>
          <w:lang w:eastAsia="en-GB"/>
        </w:rPr>
        <w:t xml:space="preserve"> while respondents that have studied ‘protected’ disciplines such as law and medicine are less likely to support Brexit. </w:t>
      </w:r>
    </w:p>
    <w:p w14:paraId="0126EF5B" w14:textId="77777777" w:rsidR="00961908" w:rsidRPr="00C91B0E" w:rsidRDefault="00961908" w:rsidP="008A0967">
      <w:pPr>
        <w:spacing w:after="0" w:line="240" w:lineRule="auto"/>
        <w:rPr>
          <w:rFonts w:eastAsia="Times New Roman" w:cs="Arial"/>
          <w:sz w:val="24"/>
          <w:szCs w:val="24"/>
          <w:lang w:eastAsia="en-GB"/>
        </w:rPr>
      </w:pPr>
    </w:p>
    <w:p w14:paraId="120FC86F" w14:textId="77777777" w:rsidR="00D055F5" w:rsidRPr="00C91B0E" w:rsidRDefault="00D055F5" w:rsidP="008A0967">
      <w:pPr>
        <w:spacing w:after="0" w:line="240" w:lineRule="auto"/>
        <w:rPr>
          <w:rFonts w:eastAsia="Times New Roman" w:cs="Arial"/>
          <w:sz w:val="24"/>
          <w:szCs w:val="24"/>
          <w:lang w:eastAsia="en-GB"/>
        </w:rPr>
      </w:pPr>
    </w:p>
    <w:p w14:paraId="02891256" w14:textId="77777777" w:rsidR="0037520A" w:rsidRPr="00C91B0E" w:rsidRDefault="003F356D" w:rsidP="00D055F5">
      <w:pPr>
        <w:spacing w:after="0" w:line="240" w:lineRule="auto"/>
        <w:rPr>
          <w:rFonts w:eastAsia="Times New Roman" w:cs="Arial"/>
          <w:b/>
          <w:sz w:val="24"/>
          <w:szCs w:val="24"/>
          <w:lang w:eastAsia="en-GB"/>
        </w:rPr>
      </w:pPr>
      <w:r w:rsidRPr="00C91B0E">
        <w:rPr>
          <w:rFonts w:eastAsia="Times New Roman" w:cs="Arial"/>
          <w:b/>
          <w:sz w:val="24"/>
          <w:szCs w:val="24"/>
          <w:lang w:eastAsia="en-GB"/>
        </w:rPr>
        <w:t>Empirical approach</w:t>
      </w:r>
    </w:p>
    <w:p w14:paraId="5F910FB5" w14:textId="77777777" w:rsidR="00050D4B" w:rsidRPr="00C91B0E" w:rsidRDefault="00050D4B" w:rsidP="00D055F5">
      <w:pPr>
        <w:spacing w:after="0" w:line="240" w:lineRule="auto"/>
        <w:rPr>
          <w:rFonts w:eastAsia="Times New Roman" w:cs="Arial"/>
          <w:b/>
          <w:sz w:val="24"/>
          <w:szCs w:val="24"/>
          <w:lang w:eastAsia="en-GB"/>
        </w:rPr>
      </w:pPr>
    </w:p>
    <w:p w14:paraId="5B1481E0" w14:textId="7863B115" w:rsidR="009A06C9" w:rsidRPr="00C91B0E" w:rsidRDefault="009A06C9" w:rsidP="00D055F5">
      <w:pPr>
        <w:spacing w:after="0" w:line="240" w:lineRule="auto"/>
        <w:rPr>
          <w:sz w:val="24"/>
          <w:szCs w:val="24"/>
        </w:rPr>
      </w:pPr>
      <w:r w:rsidRPr="00C91B0E">
        <w:rPr>
          <w:sz w:val="24"/>
          <w:szCs w:val="24"/>
        </w:rPr>
        <w:t>To explore the determinants of the Brexit vote, I rely on the 6</w:t>
      </w:r>
      <w:r w:rsidRPr="00C91B0E">
        <w:rPr>
          <w:sz w:val="24"/>
          <w:szCs w:val="24"/>
          <w:vertAlign w:val="superscript"/>
        </w:rPr>
        <w:t>th</w:t>
      </w:r>
      <w:r w:rsidRPr="00C91B0E">
        <w:rPr>
          <w:sz w:val="24"/>
          <w:szCs w:val="24"/>
        </w:rPr>
        <w:t xml:space="preserve"> wave of the British Election Study</w:t>
      </w:r>
      <w:r w:rsidR="009B1FB5" w:rsidRPr="00C91B0E">
        <w:rPr>
          <w:rStyle w:val="FootnoteReference"/>
          <w:sz w:val="24"/>
          <w:szCs w:val="24"/>
        </w:rPr>
        <w:footnoteReference w:id="1"/>
      </w:r>
      <w:r w:rsidR="00E045FB" w:rsidRPr="00C91B0E">
        <w:rPr>
          <w:sz w:val="24"/>
          <w:szCs w:val="24"/>
        </w:rPr>
        <w:t xml:space="preserve"> </w:t>
      </w:r>
      <w:r w:rsidR="00E045FB" w:rsidRPr="00C91B0E">
        <w:rPr>
          <w:rFonts w:eastAsia="Times New Roman" w:cs="Arial"/>
          <w:sz w:val="24"/>
          <w:szCs w:val="24"/>
          <w:lang w:eastAsia="en-GB"/>
        </w:rPr>
        <w:t>that asked respondents about their voting intentions for the referendum before it took place</w:t>
      </w:r>
      <w:r w:rsidRPr="00C91B0E">
        <w:rPr>
          <w:sz w:val="24"/>
          <w:szCs w:val="24"/>
        </w:rPr>
        <w:t xml:space="preserve">. </w:t>
      </w:r>
      <w:r w:rsidRPr="00C91B0E">
        <w:rPr>
          <w:rFonts w:eastAsia="Times New Roman" w:cs="Arial"/>
          <w:sz w:val="24"/>
          <w:szCs w:val="24"/>
          <w:lang w:eastAsia="en-GB"/>
        </w:rPr>
        <w:t>The question about the referendum was as follows: “</w:t>
      </w:r>
      <w:r w:rsidRPr="00C91B0E">
        <w:rPr>
          <w:sz w:val="24"/>
          <w:szCs w:val="24"/>
        </w:rPr>
        <w:t xml:space="preserve">If there was a referendum on Britain's membership of the European Union’ turnout, how do you think you would </w:t>
      </w:r>
      <w:r w:rsidRPr="00C91B0E">
        <w:rPr>
          <w:sz w:val="24"/>
          <w:szCs w:val="24"/>
        </w:rPr>
        <w:lastRenderedPageBreak/>
        <w:t>vote?”</w:t>
      </w:r>
      <w:r w:rsidR="00F22C15" w:rsidRPr="00C91B0E">
        <w:rPr>
          <w:rStyle w:val="FootnoteReference"/>
          <w:sz w:val="24"/>
          <w:szCs w:val="24"/>
        </w:rPr>
        <w:footnoteReference w:id="2"/>
      </w:r>
      <w:r w:rsidR="007B6040" w:rsidRPr="00C91B0E">
        <w:rPr>
          <w:sz w:val="24"/>
          <w:szCs w:val="24"/>
        </w:rPr>
        <w:t xml:space="preserve"> </w:t>
      </w:r>
      <w:r w:rsidR="00B373F1" w:rsidRPr="00C91B0E">
        <w:rPr>
          <w:sz w:val="24"/>
          <w:szCs w:val="24"/>
        </w:rPr>
        <w:t>I create a dummy variable coded 1 if the respondent chose leaving and 0 otherwise (</w:t>
      </w:r>
      <w:r w:rsidR="00F22C15" w:rsidRPr="00C91B0E">
        <w:rPr>
          <w:sz w:val="24"/>
          <w:szCs w:val="24"/>
        </w:rPr>
        <w:t>‘</w:t>
      </w:r>
      <w:r w:rsidR="00B373F1" w:rsidRPr="00C91B0E">
        <w:rPr>
          <w:sz w:val="24"/>
          <w:szCs w:val="24"/>
        </w:rPr>
        <w:t>don’t knows</w:t>
      </w:r>
      <w:r w:rsidR="00F22C15" w:rsidRPr="00C91B0E">
        <w:rPr>
          <w:sz w:val="24"/>
          <w:szCs w:val="24"/>
        </w:rPr>
        <w:t>’</w:t>
      </w:r>
      <w:r w:rsidR="00B373F1" w:rsidRPr="00C91B0E">
        <w:rPr>
          <w:sz w:val="24"/>
          <w:szCs w:val="24"/>
        </w:rPr>
        <w:t xml:space="preserve"> are recoded missing).</w:t>
      </w:r>
    </w:p>
    <w:p w14:paraId="3CC7472A" w14:textId="77777777" w:rsidR="00050D4B" w:rsidRPr="00C91B0E" w:rsidRDefault="00050D4B" w:rsidP="008A0967">
      <w:pPr>
        <w:spacing w:after="0" w:line="240" w:lineRule="auto"/>
        <w:rPr>
          <w:sz w:val="24"/>
          <w:szCs w:val="24"/>
        </w:rPr>
      </w:pPr>
    </w:p>
    <w:p w14:paraId="4401F977" w14:textId="026A55F9" w:rsidR="00050D4B" w:rsidRPr="00C91B0E" w:rsidRDefault="007B6040" w:rsidP="008A0967">
      <w:pPr>
        <w:spacing w:after="0" w:line="240" w:lineRule="auto"/>
        <w:rPr>
          <w:sz w:val="24"/>
          <w:szCs w:val="24"/>
        </w:rPr>
      </w:pPr>
      <w:r w:rsidRPr="00C91B0E">
        <w:rPr>
          <w:sz w:val="24"/>
          <w:szCs w:val="24"/>
        </w:rPr>
        <w:t xml:space="preserve">I create a </w:t>
      </w:r>
      <w:r w:rsidR="008A0967" w:rsidRPr="00C91B0E">
        <w:rPr>
          <w:sz w:val="24"/>
          <w:szCs w:val="24"/>
        </w:rPr>
        <w:t xml:space="preserve">female </w:t>
      </w:r>
      <w:r w:rsidRPr="00C91B0E">
        <w:rPr>
          <w:sz w:val="24"/>
          <w:szCs w:val="24"/>
        </w:rPr>
        <w:t xml:space="preserve">dummy variable to capture </w:t>
      </w:r>
      <w:r w:rsidR="008A0967" w:rsidRPr="00C91B0E">
        <w:rPr>
          <w:sz w:val="24"/>
          <w:szCs w:val="24"/>
        </w:rPr>
        <w:t xml:space="preserve">the </w:t>
      </w:r>
      <w:r w:rsidRPr="00C91B0E">
        <w:rPr>
          <w:sz w:val="24"/>
          <w:szCs w:val="24"/>
        </w:rPr>
        <w:t xml:space="preserve">gender </w:t>
      </w:r>
      <w:r w:rsidR="008A0967" w:rsidRPr="00C91B0E">
        <w:rPr>
          <w:sz w:val="24"/>
          <w:szCs w:val="24"/>
        </w:rPr>
        <w:t xml:space="preserve">of the respondent </w:t>
      </w:r>
      <w:r w:rsidRPr="00C91B0E">
        <w:rPr>
          <w:sz w:val="24"/>
          <w:szCs w:val="24"/>
        </w:rPr>
        <w:t xml:space="preserve">and </w:t>
      </w:r>
      <w:r w:rsidR="00C26CBD" w:rsidRPr="00C91B0E">
        <w:rPr>
          <w:sz w:val="24"/>
          <w:szCs w:val="24"/>
        </w:rPr>
        <w:t xml:space="preserve">a dummy variable that captures whether the respondent answered </w:t>
      </w:r>
      <w:r w:rsidR="00F621A1" w:rsidRPr="00C91B0E">
        <w:rPr>
          <w:sz w:val="24"/>
          <w:szCs w:val="24"/>
        </w:rPr>
        <w:t>‘</w:t>
      </w:r>
      <w:r w:rsidR="00C26CBD" w:rsidRPr="00C91B0E">
        <w:rPr>
          <w:sz w:val="24"/>
          <w:szCs w:val="24"/>
        </w:rPr>
        <w:t>white</w:t>
      </w:r>
      <w:r w:rsidR="00F621A1" w:rsidRPr="00C91B0E">
        <w:rPr>
          <w:sz w:val="24"/>
          <w:szCs w:val="24"/>
        </w:rPr>
        <w:t>’</w:t>
      </w:r>
      <w:r w:rsidR="00C26CBD" w:rsidRPr="00C91B0E">
        <w:rPr>
          <w:sz w:val="24"/>
          <w:szCs w:val="24"/>
        </w:rPr>
        <w:t xml:space="preserve"> to the ethnicity question in the survey. T</w:t>
      </w:r>
      <w:r w:rsidRPr="00C91B0E">
        <w:rPr>
          <w:sz w:val="24"/>
          <w:szCs w:val="24"/>
        </w:rPr>
        <w:t xml:space="preserve">o </w:t>
      </w:r>
      <w:r w:rsidR="00C26CBD" w:rsidRPr="00C91B0E">
        <w:rPr>
          <w:sz w:val="24"/>
          <w:szCs w:val="24"/>
        </w:rPr>
        <w:t xml:space="preserve">measure the impact of </w:t>
      </w:r>
      <w:r w:rsidRPr="00C91B0E">
        <w:rPr>
          <w:sz w:val="24"/>
          <w:szCs w:val="24"/>
        </w:rPr>
        <w:t>age of the respondent I create</w:t>
      </w:r>
      <w:r w:rsidR="008A0967" w:rsidRPr="00C91B0E">
        <w:rPr>
          <w:sz w:val="24"/>
          <w:szCs w:val="24"/>
        </w:rPr>
        <w:t xml:space="preserve"> two variables: a </w:t>
      </w:r>
      <w:r w:rsidR="00F621A1" w:rsidRPr="00C91B0E">
        <w:rPr>
          <w:sz w:val="24"/>
          <w:szCs w:val="24"/>
        </w:rPr>
        <w:t>‘</w:t>
      </w:r>
      <w:r w:rsidR="008A0967" w:rsidRPr="00C91B0E">
        <w:rPr>
          <w:sz w:val="24"/>
          <w:szCs w:val="24"/>
        </w:rPr>
        <w:t>young</w:t>
      </w:r>
      <w:r w:rsidR="00F621A1" w:rsidRPr="00C91B0E">
        <w:rPr>
          <w:sz w:val="24"/>
          <w:szCs w:val="24"/>
        </w:rPr>
        <w:t>’</w:t>
      </w:r>
      <w:r w:rsidR="008A0967" w:rsidRPr="00C91B0E">
        <w:rPr>
          <w:sz w:val="24"/>
          <w:szCs w:val="24"/>
        </w:rPr>
        <w:t xml:space="preserve"> dummy variable </w:t>
      </w:r>
      <w:r w:rsidRPr="00C91B0E">
        <w:rPr>
          <w:sz w:val="24"/>
          <w:szCs w:val="24"/>
        </w:rPr>
        <w:t>(1 if respondent is under 25, 0 otherwise) and a</w:t>
      </w:r>
      <w:r w:rsidR="008A0967" w:rsidRPr="00C91B0E">
        <w:rPr>
          <w:sz w:val="24"/>
          <w:szCs w:val="24"/>
        </w:rPr>
        <w:t>n</w:t>
      </w:r>
      <w:r w:rsidRPr="00C91B0E">
        <w:rPr>
          <w:sz w:val="24"/>
          <w:szCs w:val="24"/>
        </w:rPr>
        <w:t xml:space="preserve"> </w:t>
      </w:r>
      <w:r w:rsidR="00F621A1" w:rsidRPr="00C91B0E">
        <w:rPr>
          <w:sz w:val="24"/>
          <w:szCs w:val="24"/>
        </w:rPr>
        <w:t>‘</w:t>
      </w:r>
      <w:r w:rsidR="008A0967" w:rsidRPr="00C91B0E">
        <w:rPr>
          <w:sz w:val="24"/>
          <w:szCs w:val="24"/>
        </w:rPr>
        <w:t>elderly</w:t>
      </w:r>
      <w:r w:rsidR="00F621A1" w:rsidRPr="00C91B0E">
        <w:rPr>
          <w:sz w:val="24"/>
          <w:szCs w:val="24"/>
        </w:rPr>
        <w:t>’</w:t>
      </w:r>
      <w:r w:rsidR="008A0967" w:rsidRPr="00C91B0E">
        <w:rPr>
          <w:sz w:val="24"/>
          <w:szCs w:val="24"/>
        </w:rPr>
        <w:t xml:space="preserve"> </w:t>
      </w:r>
      <w:r w:rsidRPr="00C91B0E">
        <w:rPr>
          <w:sz w:val="24"/>
          <w:szCs w:val="24"/>
        </w:rPr>
        <w:t xml:space="preserve">dummy </w:t>
      </w:r>
      <w:r w:rsidR="008A0967" w:rsidRPr="00C91B0E">
        <w:rPr>
          <w:sz w:val="24"/>
          <w:szCs w:val="24"/>
        </w:rPr>
        <w:t xml:space="preserve">variable </w:t>
      </w:r>
      <w:r w:rsidRPr="00C91B0E">
        <w:rPr>
          <w:sz w:val="24"/>
          <w:szCs w:val="24"/>
        </w:rPr>
        <w:t>(1 if respondent is above 65, 0 otherwise</w:t>
      </w:r>
      <w:r w:rsidR="00F621A1" w:rsidRPr="00C91B0E">
        <w:rPr>
          <w:sz w:val="24"/>
          <w:szCs w:val="24"/>
        </w:rPr>
        <w:t>)</w:t>
      </w:r>
      <w:r w:rsidRPr="00C91B0E">
        <w:rPr>
          <w:sz w:val="24"/>
          <w:szCs w:val="24"/>
        </w:rPr>
        <w:t xml:space="preserve">. </w:t>
      </w:r>
      <w:r w:rsidR="00F2492C" w:rsidRPr="00C91B0E">
        <w:rPr>
          <w:sz w:val="24"/>
          <w:szCs w:val="24"/>
        </w:rPr>
        <w:t>Young people are typically less Eurosceptic and the elderly are typic</w:t>
      </w:r>
      <w:r w:rsidR="008A0967" w:rsidRPr="00C91B0E">
        <w:rPr>
          <w:sz w:val="24"/>
          <w:szCs w:val="24"/>
        </w:rPr>
        <w:t>ally more Eurosceptic</w:t>
      </w:r>
      <w:r w:rsidR="00F2492C" w:rsidRPr="00C91B0E">
        <w:rPr>
          <w:sz w:val="24"/>
          <w:szCs w:val="24"/>
        </w:rPr>
        <w:t xml:space="preserve">. </w:t>
      </w:r>
    </w:p>
    <w:p w14:paraId="1ACC1097" w14:textId="77777777" w:rsidR="00050D4B" w:rsidRPr="00C91B0E" w:rsidRDefault="00050D4B" w:rsidP="008A0967">
      <w:pPr>
        <w:spacing w:after="0" w:line="240" w:lineRule="auto"/>
        <w:rPr>
          <w:sz w:val="24"/>
          <w:szCs w:val="24"/>
        </w:rPr>
      </w:pPr>
    </w:p>
    <w:p w14:paraId="21A539D6" w14:textId="7E82B116" w:rsidR="00C26CBD" w:rsidRPr="00C91B0E" w:rsidRDefault="007B6040" w:rsidP="008A0967">
      <w:pPr>
        <w:spacing w:after="0" w:line="240" w:lineRule="auto"/>
        <w:rPr>
          <w:sz w:val="24"/>
          <w:szCs w:val="24"/>
        </w:rPr>
      </w:pPr>
      <w:r w:rsidRPr="00C91B0E">
        <w:rPr>
          <w:sz w:val="24"/>
          <w:szCs w:val="24"/>
        </w:rPr>
        <w:t>The survey also asks respondents about their gross household income.</w:t>
      </w:r>
      <w:r w:rsidR="00C26CBD" w:rsidRPr="00C91B0E">
        <w:rPr>
          <w:sz w:val="24"/>
          <w:szCs w:val="24"/>
        </w:rPr>
        <w:t xml:space="preserve"> Rather than including all possible categories from under 5,000 to above 150,000 pounds per year, I decide to use a cut-off point. In most political economy model</w:t>
      </w:r>
      <w:r w:rsidR="00F2492C" w:rsidRPr="00C91B0E">
        <w:rPr>
          <w:sz w:val="24"/>
          <w:szCs w:val="24"/>
        </w:rPr>
        <w:t>s</w:t>
      </w:r>
      <w:r w:rsidR="00C26CBD" w:rsidRPr="00C91B0E">
        <w:rPr>
          <w:sz w:val="24"/>
          <w:szCs w:val="24"/>
        </w:rPr>
        <w:t xml:space="preserve">, the crucial variable is the position </w:t>
      </w:r>
      <w:r w:rsidR="00F621A1" w:rsidRPr="00C91B0E">
        <w:rPr>
          <w:sz w:val="24"/>
          <w:szCs w:val="24"/>
        </w:rPr>
        <w:t xml:space="preserve">of an individual </w:t>
      </w:r>
      <w:r w:rsidR="00C26CBD" w:rsidRPr="00C91B0E">
        <w:rPr>
          <w:sz w:val="24"/>
          <w:szCs w:val="24"/>
        </w:rPr>
        <w:t xml:space="preserve">relative to the median income so I create a variable </w:t>
      </w:r>
      <w:r w:rsidR="00F621A1" w:rsidRPr="00C91B0E">
        <w:rPr>
          <w:sz w:val="24"/>
          <w:szCs w:val="24"/>
        </w:rPr>
        <w:t>‘</w:t>
      </w:r>
      <w:r w:rsidR="00C26CBD" w:rsidRPr="00C91B0E">
        <w:rPr>
          <w:sz w:val="24"/>
          <w:szCs w:val="24"/>
        </w:rPr>
        <w:t>above median income</w:t>
      </w:r>
      <w:r w:rsidR="00F621A1" w:rsidRPr="00C91B0E">
        <w:rPr>
          <w:sz w:val="24"/>
          <w:szCs w:val="24"/>
        </w:rPr>
        <w:t>’</w:t>
      </w:r>
      <w:r w:rsidR="00C26CBD" w:rsidRPr="00C91B0E">
        <w:rPr>
          <w:sz w:val="24"/>
          <w:szCs w:val="24"/>
        </w:rPr>
        <w:t>.</w:t>
      </w:r>
      <w:r w:rsidRPr="00C91B0E">
        <w:rPr>
          <w:sz w:val="24"/>
          <w:szCs w:val="24"/>
        </w:rPr>
        <w:t xml:space="preserve"> Given that the median household disposable income in the UK for 2014/15 was £25,600,</w:t>
      </w:r>
      <w:r w:rsidRPr="00C91B0E">
        <w:rPr>
          <w:rStyle w:val="FootnoteReference"/>
          <w:sz w:val="24"/>
          <w:szCs w:val="24"/>
        </w:rPr>
        <w:footnoteReference w:id="3"/>
      </w:r>
      <w:r w:rsidRPr="00C91B0E">
        <w:rPr>
          <w:sz w:val="24"/>
          <w:szCs w:val="24"/>
        </w:rPr>
        <w:t xml:space="preserve"> I code all respondents with household income above £25,000 as being above median.</w:t>
      </w:r>
      <w:r w:rsidR="00C26CBD" w:rsidRPr="00C91B0E">
        <w:rPr>
          <w:sz w:val="24"/>
          <w:szCs w:val="24"/>
        </w:rPr>
        <w:t xml:space="preserve"> </w:t>
      </w:r>
    </w:p>
    <w:p w14:paraId="5AA89D6F" w14:textId="77777777" w:rsidR="00C26CBD" w:rsidRPr="00C91B0E" w:rsidRDefault="00C26CBD" w:rsidP="008A0967">
      <w:pPr>
        <w:spacing w:after="0" w:line="240" w:lineRule="auto"/>
        <w:rPr>
          <w:sz w:val="24"/>
          <w:szCs w:val="24"/>
        </w:rPr>
      </w:pPr>
    </w:p>
    <w:p w14:paraId="11AC8B3C" w14:textId="6AD56734" w:rsidR="00C26CBD" w:rsidRPr="00C91B0E" w:rsidRDefault="00C26CBD" w:rsidP="008A0967">
      <w:pPr>
        <w:spacing w:after="0" w:line="240" w:lineRule="auto"/>
        <w:rPr>
          <w:rFonts w:cs="Calibri"/>
          <w:color w:val="000000"/>
          <w:sz w:val="24"/>
          <w:szCs w:val="24"/>
        </w:rPr>
      </w:pPr>
      <w:r w:rsidRPr="00C91B0E">
        <w:rPr>
          <w:sz w:val="24"/>
          <w:szCs w:val="24"/>
        </w:rPr>
        <w:t>In addition, I look at the role of education which is meant to constitute a clear dividing line between the losers and winners of Europe</w:t>
      </w:r>
      <w:r w:rsidR="00F621A1" w:rsidRPr="00C91B0E">
        <w:rPr>
          <w:sz w:val="24"/>
          <w:szCs w:val="24"/>
        </w:rPr>
        <w:t>an integration</w:t>
      </w:r>
      <w:r w:rsidRPr="00C91B0E">
        <w:rPr>
          <w:sz w:val="24"/>
          <w:szCs w:val="24"/>
        </w:rPr>
        <w:t xml:space="preserve">. The absolute losers are likely to be those with no education so I create a dummy that takes value 1 if respondents </w:t>
      </w:r>
      <w:r w:rsidR="008A0967" w:rsidRPr="00C91B0E">
        <w:rPr>
          <w:sz w:val="24"/>
          <w:szCs w:val="24"/>
        </w:rPr>
        <w:t>have no formal qualification</w:t>
      </w:r>
      <w:r w:rsidRPr="00C91B0E">
        <w:rPr>
          <w:rFonts w:cs="Calibri"/>
          <w:color w:val="000000"/>
          <w:sz w:val="24"/>
          <w:szCs w:val="24"/>
        </w:rPr>
        <w:t xml:space="preserve">. </w:t>
      </w:r>
      <w:r w:rsidR="00B373F1" w:rsidRPr="00C91B0E">
        <w:rPr>
          <w:rFonts w:cs="Calibri"/>
          <w:color w:val="000000"/>
          <w:sz w:val="24"/>
          <w:szCs w:val="24"/>
        </w:rPr>
        <w:t xml:space="preserve">Among those that have undertaken higher education, the survey asks them what subject they have studied. This provides an opportunity to test whether </w:t>
      </w:r>
      <w:r w:rsidR="008A0967" w:rsidRPr="00C91B0E">
        <w:rPr>
          <w:rFonts w:cs="Calibri"/>
          <w:color w:val="000000"/>
          <w:sz w:val="24"/>
          <w:szCs w:val="24"/>
        </w:rPr>
        <w:t xml:space="preserve">respondents that have studied </w:t>
      </w:r>
      <w:r w:rsidR="00B373F1" w:rsidRPr="00C91B0E">
        <w:rPr>
          <w:rFonts w:cs="Calibri"/>
          <w:color w:val="000000"/>
          <w:sz w:val="24"/>
          <w:szCs w:val="24"/>
        </w:rPr>
        <w:t>different subjects feel differently about Brexit. In particular, I hypothesise that respondents that studied medicine or law are more likely to want to remain because these subject areas are more ‘closed off’ to foreign competition than natural, social sciences and humanities.</w:t>
      </w:r>
    </w:p>
    <w:p w14:paraId="23664375" w14:textId="77777777" w:rsidR="003F114D" w:rsidRPr="00C91B0E" w:rsidRDefault="003F114D" w:rsidP="008A0967">
      <w:pPr>
        <w:spacing w:after="0" w:line="240" w:lineRule="auto"/>
        <w:rPr>
          <w:rFonts w:cs="Calibri"/>
          <w:color w:val="000000"/>
          <w:sz w:val="24"/>
          <w:szCs w:val="24"/>
        </w:rPr>
      </w:pPr>
    </w:p>
    <w:p w14:paraId="25369DFF" w14:textId="45AC38DF" w:rsidR="00C26CBD" w:rsidRPr="00C91B0E" w:rsidRDefault="00B373F1" w:rsidP="008A0967">
      <w:pPr>
        <w:spacing w:after="0" w:line="240" w:lineRule="auto"/>
        <w:rPr>
          <w:sz w:val="24"/>
          <w:szCs w:val="24"/>
        </w:rPr>
      </w:pPr>
      <w:r w:rsidRPr="00C91B0E">
        <w:rPr>
          <w:sz w:val="24"/>
          <w:szCs w:val="24"/>
        </w:rPr>
        <w:t xml:space="preserve">Next, </w:t>
      </w:r>
      <w:r w:rsidR="00C26CBD" w:rsidRPr="00C91B0E">
        <w:rPr>
          <w:sz w:val="24"/>
          <w:szCs w:val="24"/>
        </w:rPr>
        <w:t xml:space="preserve">I </w:t>
      </w:r>
      <w:r w:rsidRPr="00C91B0E">
        <w:rPr>
          <w:sz w:val="24"/>
          <w:szCs w:val="24"/>
        </w:rPr>
        <w:t>analyse the effect of various risks on support for leaving</w:t>
      </w:r>
      <w:r w:rsidR="00C26CBD" w:rsidRPr="00C91B0E">
        <w:rPr>
          <w:sz w:val="24"/>
          <w:szCs w:val="24"/>
        </w:rPr>
        <w:t>. The first</w:t>
      </w:r>
      <w:r w:rsidRPr="00C91B0E">
        <w:rPr>
          <w:sz w:val="24"/>
          <w:szCs w:val="24"/>
        </w:rPr>
        <w:t xml:space="preserve"> risk</w:t>
      </w:r>
      <w:r w:rsidR="00C26CBD" w:rsidRPr="00C91B0E">
        <w:rPr>
          <w:sz w:val="24"/>
          <w:szCs w:val="24"/>
        </w:rPr>
        <w:t xml:space="preserve"> is whether the respondent</w:t>
      </w:r>
      <w:r w:rsidRPr="00C91B0E">
        <w:rPr>
          <w:sz w:val="24"/>
          <w:szCs w:val="24"/>
        </w:rPr>
        <w:t xml:space="preserve"> is at high risk of poverty</w:t>
      </w:r>
      <w:r w:rsidR="008A0967" w:rsidRPr="00C91B0E">
        <w:rPr>
          <w:sz w:val="24"/>
          <w:szCs w:val="24"/>
        </w:rPr>
        <w:t>,</w:t>
      </w:r>
      <w:r w:rsidRPr="00C91B0E">
        <w:rPr>
          <w:sz w:val="24"/>
          <w:szCs w:val="24"/>
        </w:rPr>
        <w:t xml:space="preserve"> understood as being </w:t>
      </w:r>
      <w:r w:rsidR="008A0967" w:rsidRPr="00C91B0E">
        <w:rPr>
          <w:sz w:val="24"/>
          <w:szCs w:val="24"/>
        </w:rPr>
        <w:t>“</w:t>
      </w:r>
      <w:r w:rsidRPr="00C91B0E">
        <w:rPr>
          <w:sz w:val="24"/>
          <w:szCs w:val="24"/>
        </w:rPr>
        <w:t>fairly likely</w:t>
      </w:r>
      <w:r w:rsidR="008A0967" w:rsidRPr="00C91B0E">
        <w:rPr>
          <w:sz w:val="24"/>
          <w:szCs w:val="24"/>
        </w:rPr>
        <w:t>”</w:t>
      </w:r>
      <w:r w:rsidRPr="00C91B0E">
        <w:rPr>
          <w:sz w:val="24"/>
          <w:szCs w:val="24"/>
        </w:rPr>
        <w:t xml:space="preserve"> or </w:t>
      </w:r>
      <w:r w:rsidR="008A0967" w:rsidRPr="00C91B0E">
        <w:rPr>
          <w:sz w:val="24"/>
          <w:szCs w:val="24"/>
        </w:rPr>
        <w:t>“</w:t>
      </w:r>
      <w:r w:rsidRPr="00C91B0E">
        <w:rPr>
          <w:sz w:val="24"/>
          <w:szCs w:val="24"/>
        </w:rPr>
        <w:t>very likely</w:t>
      </w:r>
      <w:r w:rsidR="008A0967" w:rsidRPr="00C91B0E">
        <w:rPr>
          <w:sz w:val="24"/>
          <w:szCs w:val="24"/>
        </w:rPr>
        <w:t>”</w:t>
      </w:r>
      <w:r w:rsidRPr="00C91B0E">
        <w:rPr>
          <w:sz w:val="24"/>
          <w:szCs w:val="24"/>
        </w:rPr>
        <w:t xml:space="preserve"> to have </w:t>
      </w:r>
      <w:r w:rsidRPr="00C91B0E">
        <w:rPr>
          <w:rFonts w:cs="Calibri"/>
          <w:color w:val="000000"/>
          <w:sz w:val="24"/>
          <w:szCs w:val="24"/>
        </w:rPr>
        <w:t xml:space="preserve">times when the respondent </w:t>
      </w:r>
      <w:r w:rsidR="00F621A1" w:rsidRPr="00C91B0E">
        <w:rPr>
          <w:rFonts w:cs="Calibri"/>
          <w:color w:val="000000"/>
          <w:sz w:val="24"/>
          <w:szCs w:val="24"/>
        </w:rPr>
        <w:t>does not</w:t>
      </w:r>
      <w:r w:rsidRPr="00C91B0E">
        <w:rPr>
          <w:rFonts w:cs="Calibri"/>
          <w:color w:val="000000"/>
          <w:sz w:val="24"/>
          <w:szCs w:val="24"/>
        </w:rPr>
        <w:t xml:space="preserve"> have enough money to cover day to day living costs during the next 12 months (coded 1, 0 otherwise). </w:t>
      </w:r>
      <w:r w:rsidR="00F2492C" w:rsidRPr="00C91B0E">
        <w:rPr>
          <w:rFonts w:cs="Calibri"/>
          <w:color w:val="000000"/>
          <w:sz w:val="24"/>
          <w:szCs w:val="24"/>
        </w:rPr>
        <w:t xml:space="preserve">To the extent that those that are at greater risk of poverty are more dissatisfied with the system, they may be more likely to vote for Brexit, but if they believe forecasts about the economy they should be less likely to vote to leave. </w:t>
      </w:r>
      <w:r w:rsidRPr="00C91B0E">
        <w:rPr>
          <w:rFonts w:cs="Calibri"/>
          <w:color w:val="000000"/>
          <w:sz w:val="24"/>
          <w:szCs w:val="24"/>
        </w:rPr>
        <w:t>The second risk is unemployment risk understood as being fairly or very likely to be out of work in the next 12 months (coded 1, 0 otherwise).</w:t>
      </w:r>
      <w:r w:rsidRPr="00C91B0E">
        <w:rPr>
          <w:sz w:val="24"/>
          <w:szCs w:val="24"/>
        </w:rPr>
        <w:t xml:space="preserve"> The third risk variable is coded 1 if respondents are renting and 0 otherwise. The fourth risk variable captures whether the main income of the respondent comes from employment (coded 1) or from other sources (coded 0, for instance receiving benefits).</w:t>
      </w:r>
    </w:p>
    <w:p w14:paraId="3B5805D8" w14:textId="77777777" w:rsidR="008A0967" w:rsidRPr="00C91B0E" w:rsidRDefault="008A0967" w:rsidP="008A0967">
      <w:pPr>
        <w:spacing w:after="0" w:line="240" w:lineRule="auto"/>
        <w:rPr>
          <w:sz w:val="24"/>
          <w:szCs w:val="24"/>
        </w:rPr>
      </w:pPr>
    </w:p>
    <w:p w14:paraId="3AE510E0" w14:textId="6987B3A1" w:rsidR="00C26CBD" w:rsidRPr="00C91B0E" w:rsidRDefault="00CF784F" w:rsidP="008A0967">
      <w:pPr>
        <w:spacing w:after="0" w:line="240" w:lineRule="auto"/>
        <w:rPr>
          <w:sz w:val="24"/>
          <w:szCs w:val="24"/>
        </w:rPr>
      </w:pPr>
      <w:r w:rsidRPr="00C91B0E">
        <w:rPr>
          <w:sz w:val="24"/>
          <w:szCs w:val="24"/>
        </w:rPr>
        <w:t>Moreover</w:t>
      </w:r>
      <w:r w:rsidR="00F2492C" w:rsidRPr="00C91B0E">
        <w:rPr>
          <w:sz w:val="24"/>
          <w:szCs w:val="24"/>
        </w:rPr>
        <w:t xml:space="preserve">, I want to investigate the impact of </w:t>
      </w:r>
      <w:r w:rsidR="00F621A1" w:rsidRPr="00C91B0E">
        <w:rPr>
          <w:sz w:val="24"/>
          <w:szCs w:val="24"/>
        </w:rPr>
        <w:t>labour market</w:t>
      </w:r>
      <w:r w:rsidR="00F2492C" w:rsidRPr="00C91B0E">
        <w:rPr>
          <w:sz w:val="24"/>
          <w:szCs w:val="24"/>
        </w:rPr>
        <w:t xml:space="preserve"> occupations. The survey asks respondents whether they are </w:t>
      </w:r>
      <w:r w:rsidR="00F621A1" w:rsidRPr="00C91B0E">
        <w:rPr>
          <w:sz w:val="24"/>
          <w:szCs w:val="24"/>
        </w:rPr>
        <w:t>‘</w:t>
      </w:r>
      <w:r w:rsidR="00F2492C" w:rsidRPr="00C91B0E">
        <w:rPr>
          <w:sz w:val="24"/>
          <w:szCs w:val="24"/>
        </w:rPr>
        <w:t>employers in large organisations</w:t>
      </w:r>
      <w:r w:rsidR="00784993" w:rsidRPr="00C91B0E">
        <w:rPr>
          <w:sz w:val="24"/>
          <w:szCs w:val="24"/>
        </w:rPr>
        <w:t xml:space="preserve"> and </w:t>
      </w:r>
      <w:r w:rsidR="008A0967" w:rsidRPr="00C91B0E">
        <w:rPr>
          <w:sz w:val="24"/>
          <w:szCs w:val="24"/>
        </w:rPr>
        <w:t xml:space="preserve">in </w:t>
      </w:r>
      <w:r w:rsidR="00784993" w:rsidRPr="00C91B0E">
        <w:rPr>
          <w:sz w:val="24"/>
          <w:szCs w:val="24"/>
        </w:rPr>
        <w:t xml:space="preserve">higher managerial </w:t>
      </w:r>
      <w:r w:rsidR="008A0967" w:rsidRPr="00C91B0E">
        <w:rPr>
          <w:sz w:val="24"/>
          <w:szCs w:val="24"/>
        </w:rPr>
        <w:t>positions</w:t>
      </w:r>
      <w:r w:rsidR="00F621A1" w:rsidRPr="00C91B0E">
        <w:rPr>
          <w:sz w:val="24"/>
          <w:szCs w:val="24"/>
        </w:rPr>
        <w:t>’</w:t>
      </w:r>
      <w:r w:rsidR="00F2492C" w:rsidRPr="00C91B0E">
        <w:rPr>
          <w:sz w:val="24"/>
          <w:szCs w:val="24"/>
        </w:rPr>
        <w:t xml:space="preserve">, </w:t>
      </w:r>
      <w:r w:rsidR="00F621A1" w:rsidRPr="00C91B0E">
        <w:rPr>
          <w:sz w:val="24"/>
          <w:szCs w:val="24"/>
        </w:rPr>
        <w:t>‘</w:t>
      </w:r>
      <w:r w:rsidR="00F2492C" w:rsidRPr="00C91B0E">
        <w:rPr>
          <w:sz w:val="24"/>
          <w:szCs w:val="24"/>
        </w:rPr>
        <w:t>higher professional occupations</w:t>
      </w:r>
      <w:r w:rsidR="00F621A1" w:rsidRPr="00C91B0E">
        <w:rPr>
          <w:sz w:val="24"/>
          <w:szCs w:val="24"/>
        </w:rPr>
        <w:t>’</w:t>
      </w:r>
      <w:r w:rsidR="00F2492C" w:rsidRPr="00C91B0E">
        <w:rPr>
          <w:sz w:val="24"/>
          <w:szCs w:val="24"/>
        </w:rPr>
        <w:t xml:space="preserve">, </w:t>
      </w:r>
      <w:r w:rsidR="00F621A1" w:rsidRPr="00C91B0E">
        <w:rPr>
          <w:sz w:val="24"/>
          <w:szCs w:val="24"/>
        </w:rPr>
        <w:t>‘</w:t>
      </w:r>
      <w:r w:rsidR="00F2492C" w:rsidRPr="00C91B0E">
        <w:rPr>
          <w:sz w:val="24"/>
          <w:szCs w:val="24"/>
        </w:rPr>
        <w:t xml:space="preserve">lower professional and managerial </w:t>
      </w:r>
      <w:r w:rsidR="00F2492C" w:rsidRPr="00C91B0E">
        <w:rPr>
          <w:sz w:val="24"/>
          <w:szCs w:val="24"/>
        </w:rPr>
        <w:lastRenderedPageBreak/>
        <w:t>occupations</w:t>
      </w:r>
      <w:r w:rsidR="00784993" w:rsidRPr="00C91B0E">
        <w:rPr>
          <w:sz w:val="24"/>
          <w:szCs w:val="24"/>
        </w:rPr>
        <w:t xml:space="preserve"> and higher supervisory</w:t>
      </w:r>
      <w:r w:rsidR="00F621A1" w:rsidRPr="00C91B0E">
        <w:rPr>
          <w:sz w:val="24"/>
          <w:szCs w:val="24"/>
        </w:rPr>
        <w:t>’</w:t>
      </w:r>
      <w:r w:rsidR="00784993" w:rsidRPr="00C91B0E">
        <w:rPr>
          <w:sz w:val="24"/>
          <w:szCs w:val="24"/>
        </w:rPr>
        <w:t xml:space="preserve">, </w:t>
      </w:r>
      <w:r w:rsidR="00F621A1" w:rsidRPr="00C91B0E">
        <w:rPr>
          <w:sz w:val="24"/>
          <w:szCs w:val="24"/>
        </w:rPr>
        <w:t>‘employers in small organisations and own account workers’, ‘</w:t>
      </w:r>
      <w:r w:rsidR="00F2492C" w:rsidRPr="00C91B0E">
        <w:rPr>
          <w:sz w:val="24"/>
          <w:szCs w:val="24"/>
        </w:rPr>
        <w:t>intermediate occupations</w:t>
      </w:r>
      <w:r w:rsidR="00F621A1" w:rsidRPr="00C91B0E">
        <w:rPr>
          <w:sz w:val="24"/>
          <w:szCs w:val="24"/>
        </w:rPr>
        <w:t>’</w:t>
      </w:r>
      <w:r w:rsidR="00F2492C" w:rsidRPr="00C91B0E">
        <w:rPr>
          <w:sz w:val="24"/>
          <w:szCs w:val="24"/>
        </w:rPr>
        <w:t xml:space="preserve">, </w:t>
      </w:r>
      <w:r w:rsidR="00F621A1" w:rsidRPr="00C91B0E">
        <w:rPr>
          <w:sz w:val="24"/>
          <w:szCs w:val="24"/>
        </w:rPr>
        <w:t>‘</w:t>
      </w:r>
      <w:r w:rsidR="00F2492C" w:rsidRPr="00C91B0E">
        <w:rPr>
          <w:sz w:val="24"/>
          <w:szCs w:val="24"/>
        </w:rPr>
        <w:t>lower supervisory and technical occupations</w:t>
      </w:r>
      <w:r w:rsidR="00F621A1" w:rsidRPr="00C91B0E">
        <w:rPr>
          <w:sz w:val="24"/>
          <w:szCs w:val="24"/>
        </w:rPr>
        <w:t>’</w:t>
      </w:r>
      <w:r w:rsidR="00F2492C" w:rsidRPr="00C91B0E">
        <w:rPr>
          <w:sz w:val="24"/>
          <w:szCs w:val="24"/>
        </w:rPr>
        <w:t xml:space="preserve">, </w:t>
      </w:r>
      <w:r w:rsidR="00F621A1" w:rsidRPr="00C91B0E">
        <w:rPr>
          <w:sz w:val="24"/>
          <w:szCs w:val="24"/>
        </w:rPr>
        <w:t>‘</w:t>
      </w:r>
      <w:r w:rsidR="00F2492C" w:rsidRPr="00C91B0E">
        <w:rPr>
          <w:sz w:val="24"/>
          <w:szCs w:val="24"/>
        </w:rPr>
        <w:t>semi-routine occupations or routine occupations</w:t>
      </w:r>
      <w:r w:rsidR="00F621A1" w:rsidRPr="00C91B0E">
        <w:rPr>
          <w:sz w:val="24"/>
          <w:szCs w:val="24"/>
        </w:rPr>
        <w:t>’</w:t>
      </w:r>
      <w:r w:rsidR="00F2492C" w:rsidRPr="00C91B0E">
        <w:rPr>
          <w:sz w:val="24"/>
          <w:szCs w:val="24"/>
        </w:rPr>
        <w:t>. I create a dummy variable if the respondent chooses one of the last three occupations that are routine and/or low.</w:t>
      </w:r>
    </w:p>
    <w:p w14:paraId="00C54050" w14:textId="77777777" w:rsidR="008A0967" w:rsidRPr="00C91B0E" w:rsidRDefault="008A0967" w:rsidP="008A0967">
      <w:pPr>
        <w:spacing w:after="0" w:line="240" w:lineRule="auto"/>
        <w:rPr>
          <w:sz w:val="24"/>
          <w:szCs w:val="24"/>
        </w:rPr>
      </w:pPr>
    </w:p>
    <w:p w14:paraId="1924C6A0" w14:textId="77777777" w:rsidR="003414EC" w:rsidRPr="00C91B0E" w:rsidRDefault="003414EC" w:rsidP="008A0967">
      <w:pPr>
        <w:spacing w:after="0" w:line="240" w:lineRule="auto"/>
        <w:rPr>
          <w:sz w:val="24"/>
          <w:szCs w:val="24"/>
        </w:rPr>
      </w:pPr>
    </w:p>
    <w:p w14:paraId="16031E07" w14:textId="77777777" w:rsidR="00F621A1" w:rsidRPr="00C91B0E" w:rsidRDefault="00F621A1" w:rsidP="008A0967">
      <w:pPr>
        <w:spacing w:after="0" w:line="240" w:lineRule="auto"/>
        <w:rPr>
          <w:rFonts w:cs="System"/>
          <w:bCs/>
          <w:sz w:val="24"/>
          <w:szCs w:val="24"/>
        </w:rPr>
      </w:pPr>
    </w:p>
    <w:p w14:paraId="0AFF38D8" w14:textId="77777777" w:rsidR="00BC3D3F" w:rsidRPr="00C91B0E" w:rsidRDefault="003F356D" w:rsidP="008A0967">
      <w:pPr>
        <w:spacing w:after="0" w:line="240" w:lineRule="auto"/>
        <w:rPr>
          <w:b/>
          <w:sz w:val="24"/>
          <w:szCs w:val="24"/>
        </w:rPr>
      </w:pPr>
      <w:r w:rsidRPr="00C91B0E">
        <w:rPr>
          <w:b/>
          <w:sz w:val="24"/>
          <w:szCs w:val="24"/>
        </w:rPr>
        <w:t>Results</w:t>
      </w:r>
    </w:p>
    <w:p w14:paraId="7C346EC6" w14:textId="77777777" w:rsidR="00050D4B" w:rsidRPr="00C91B0E" w:rsidRDefault="00050D4B" w:rsidP="008A0967">
      <w:pPr>
        <w:spacing w:after="0" w:line="240" w:lineRule="auto"/>
        <w:rPr>
          <w:i/>
          <w:sz w:val="24"/>
          <w:szCs w:val="24"/>
        </w:rPr>
      </w:pPr>
    </w:p>
    <w:p w14:paraId="028AA240" w14:textId="77777777" w:rsidR="0016579E" w:rsidRPr="00C91B0E" w:rsidRDefault="00FE5E48" w:rsidP="008A0967">
      <w:pPr>
        <w:spacing w:after="0" w:line="240" w:lineRule="auto"/>
        <w:rPr>
          <w:i/>
          <w:sz w:val="24"/>
          <w:szCs w:val="24"/>
        </w:rPr>
      </w:pPr>
      <w:r w:rsidRPr="00C91B0E">
        <w:rPr>
          <w:i/>
          <w:sz w:val="24"/>
          <w:szCs w:val="24"/>
        </w:rPr>
        <w:t>L</w:t>
      </w:r>
      <w:r w:rsidR="0016579E" w:rsidRPr="00C91B0E">
        <w:rPr>
          <w:i/>
          <w:sz w:val="24"/>
          <w:szCs w:val="24"/>
        </w:rPr>
        <w:t>ogistic analysis</w:t>
      </w:r>
      <w:r w:rsidRPr="00C91B0E">
        <w:rPr>
          <w:i/>
          <w:sz w:val="24"/>
          <w:szCs w:val="24"/>
        </w:rPr>
        <w:t xml:space="preserve"> on one independent variable at a time</w:t>
      </w:r>
    </w:p>
    <w:p w14:paraId="1B7F13F2" w14:textId="77777777" w:rsidR="003F356D" w:rsidRPr="00C91B0E" w:rsidRDefault="003F356D" w:rsidP="008A0967">
      <w:pPr>
        <w:spacing w:after="0" w:line="240" w:lineRule="auto"/>
        <w:rPr>
          <w:sz w:val="24"/>
          <w:szCs w:val="24"/>
        </w:rPr>
      </w:pPr>
    </w:p>
    <w:p w14:paraId="752CE236" w14:textId="733007F3" w:rsidR="003F356D" w:rsidRPr="00C91B0E" w:rsidRDefault="00B55E2C" w:rsidP="008A0967">
      <w:pPr>
        <w:spacing w:after="0" w:line="240" w:lineRule="auto"/>
        <w:rPr>
          <w:sz w:val="24"/>
          <w:szCs w:val="24"/>
        </w:rPr>
      </w:pPr>
      <w:r w:rsidRPr="00C91B0E">
        <w:rPr>
          <w:sz w:val="24"/>
          <w:szCs w:val="24"/>
        </w:rPr>
        <w:t xml:space="preserve">Table 1 </w:t>
      </w:r>
      <w:r w:rsidR="00726C9A" w:rsidRPr="00C91B0E">
        <w:rPr>
          <w:sz w:val="24"/>
          <w:szCs w:val="24"/>
        </w:rPr>
        <w:t xml:space="preserve">reports </w:t>
      </w:r>
      <w:r w:rsidRPr="00C91B0E">
        <w:rPr>
          <w:sz w:val="24"/>
          <w:szCs w:val="24"/>
        </w:rPr>
        <w:t xml:space="preserve">the results for a series of models where each independent variable is included on its own. For ease of interpretation it reports the predicted probability of voting leave when the dummy variable is 1 and when it is 0. Where the 95% confidence interval of the predicted probability for </w:t>
      </w:r>
      <w:r w:rsidR="004705F8" w:rsidRPr="00C91B0E">
        <w:rPr>
          <w:sz w:val="24"/>
          <w:szCs w:val="24"/>
        </w:rPr>
        <w:t xml:space="preserve">different </w:t>
      </w:r>
      <w:r w:rsidR="003F356D" w:rsidRPr="00C91B0E">
        <w:rPr>
          <w:sz w:val="24"/>
          <w:szCs w:val="24"/>
        </w:rPr>
        <w:t>values of the variable</w:t>
      </w:r>
      <w:r w:rsidR="004705F8" w:rsidRPr="00C91B0E">
        <w:rPr>
          <w:sz w:val="24"/>
          <w:szCs w:val="24"/>
        </w:rPr>
        <w:t xml:space="preserve"> overlap (last two columns) the variable does not have a statistically significant effect. </w:t>
      </w:r>
    </w:p>
    <w:p w14:paraId="55EF2468" w14:textId="77777777" w:rsidR="003F356D" w:rsidRPr="00C91B0E" w:rsidRDefault="003F356D" w:rsidP="008A0967">
      <w:pPr>
        <w:spacing w:after="0" w:line="240" w:lineRule="auto"/>
        <w:rPr>
          <w:sz w:val="24"/>
          <w:szCs w:val="24"/>
        </w:rPr>
      </w:pPr>
    </w:p>
    <w:p w14:paraId="52548E1C" w14:textId="77777777" w:rsidR="0037520A" w:rsidRPr="00C91B0E" w:rsidRDefault="003F356D" w:rsidP="008A0967">
      <w:pPr>
        <w:spacing w:after="0" w:line="240" w:lineRule="auto"/>
        <w:rPr>
          <w:sz w:val="24"/>
          <w:szCs w:val="24"/>
        </w:rPr>
      </w:pPr>
      <w:r w:rsidRPr="00C91B0E">
        <w:rPr>
          <w:sz w:val="24"/>
          <w:szCs w:val="24"/>
        </w:rPr>
        <w:t>T</w:t>
      </w:r>
      <w:r w:rsidR="004705F8" w:rsidRPr="00C91B0E">
        <w:rPr>
          <w:sz w:val="24"/>
          <w:szCs w:val="24"/>
        </w:rPr>
        <w:t xml:space="preserve">he predicted probabilities for male and female respondents are very similar and not statistically different. White respondents have a 40% probability of preferring to leave compared to 31% for </w:t>
      </w:r>
      <w:r w:rsidR="00AA1EA1" w:rsidRPr="00C91B0E">
        <w:rPr>
          <w:sz w:val="24"/>
          <w:szCs w:val="24"/>
        </w:rPr>
        <w:t xml:space="preserve">non-white respondents (all probabilities </w:t>
      </w:r>
      <w:r w:rsidRPr="00C91B0E">
        <w:rPr>
          <w:sz w:val="24"/>
          <w:szCs w:val="24"/>
        </w:rPr>
        <w:t xml:space="preserve">in the discussion </w:t>
      </w:r>
      <w:r w:rsidR="00AA1EA1" w:rsidRPr="00C91B0E">
        <w:rPr>
          <w:sz w:val="24"/>
          <w:szCs w:val="24"/>
        </w:rPr>
        <w:t>are rounded), elderly respondents have a 50% predicted probability of preferring leave compared to non-elderly whereas for the young it is 18% (compared to 42% for non-young respondents).</w:t>
      </w:r>
    </w:p>
    <w:p w14:paraId="10DCAA55" w14:textId="77777777" w:rsidR="00050D4B" w:rsidRPr="00C91B0E" w:rsidRDefault="00050D4B" w:rsidP="008A0967">
      <w:pPr>
        <w:spacing w:after="0" w:line="240" w:lineRule="auto"/>
        <w:rPr>
          <w:sz w:val="24"/>
          <w:szCs w:val="24"/>
        </w:rPr>
      </w:pPr>
    </w:p>
    <w:p w14:paraId="7C7F3067" w14:textId="554A63DE" w:rsidR="00AA1EA1" w:rsidRPr="00C91B0E" w:rsidRDefault="00AA1EA1" w:rsidP="008A0967">
      <w:pPr>
        <w:spacing w:after="0" w:line="240" w:lineRule="auto"/>
        <w:rPr>
          <w:sz w:val="24"/>
          <w:szCs w:val="24"/>
        </w:rPr>
      </w:pPr>
      <w:r w:rsidRPr="00C91B0E">
        <w:rPr>
          <w:sz w:val="24"/>
          <w:szCs w:val="24"/>
        </w:rPr>
        <w:t xml:space="preserve">In contrast to accounts that downplay the role of material factors, respondents above the median income have a 33% predicted probability compared to 46% for those below median, while those with no formal education have predicted probabilities that are twice as large (65%) as those with formal education (38%). </w:t>
      </w:r>
      <w:r w:rsidR="00D6311E" w:rsidRPr="00C91B0E">
        <w:rPr>
          <w:sz w:val="24"/>
          <w:szCs w:val="24"/>
        </w:rPr>
        <w:t xml:space="preserve">The effect of the discipline among those with higher education is striking: respondents that have </w:t>
      </w:r>
      <w:r w:rsidR="003C25AD" w:rsidRPr="00C91B0E">
        <w:rPr>
          <w:sz w:val="24"/>
          <w:szCs w:val="24"/>
        </w:rPr>
        <w:t>done law and medicine, disciplines that may be harder to enter for foreigners,</w:t>
      </w:r>
      <w:r w:rsidR="00D6311E" w:rsidRPr="00C91B0E">
        <w:rPr>
          <w:sz w:val="24"/>
          <w:szCs w:val="24"/>
        </w:rPr>
        <w:t xml:space="preserve"> have a 29% predicted probability compared to 40% for other respondents. </w:t>
      </w:r>
      <w:r w:rsidR="001F421A">
        <w:rPr>
          <w:sz w:val="24"/>
          <w:szCs w:val="24"/>
        </w:rPr>
        <w:t>Individuals in l</w:t>
      </w:r>
      <w:r w:rsidR="00D6311E" w:rsidRPr="00C91B0E">
        <w:rPr>
          <w:sz w:val="24"/>
          <w:szCs w:val="24"/>
        </w:rPr>
        <w:t xml:space="preserve">ow or routine occupations </w:t>
      </w:r>
      <w:r w:rsidR="001F421A">
        <w:rPr>
          <w:sz w:val="24"/>
          <w:szCs w:val="24"/>
        </w:rPr>
        <w:t xml:space="preserve">also </w:t>
      </w:r>
      <w:r w:rsidR="00D6311E" w:rsidRPr="00C91B0E">
        <w:rPr>
          <w:sz w:val="24"/>
          <w:szCs w:val="24"/>
        </w:rPr>
        <w:t>have much higher predicted probabilities (55% versus 37%). A</w:t>
      </w:r>
      <w:r w:rsidRPr="00C91B0E">
        <w:rPr>
          <w:sz w:val="24"/>
          <w:szCs w:val="24"/>
        </w:rPr>
        <w:t>s expected, respondents that derive their main earnings from employment have lower predicted probabilities of supporting Brexit (35% versus 41%)</w:t>
      </w:r>
      <w:r w:rsidR="001F421A">
        <w:rPr>
          <w:sz w:val="24"/>
          <w:szCs w:val="24"/>
        </w:rPr>
        <w:t>.</w:t>
      </w:r>
    </w:p>
    <w:p w14:paraId="3670E218" w14:textId="77777777" w:rsidR="00050D4B" w:rsidRPr="00C91B0E" w:rsidRDefault="00050D4B" w:rsidP="008A0967">
      <w:pPr>
        <w:spacing w:after="0" w:line="240" w:lineRule="auto"/>
        <w:rPr>
          <w:sz w:val="24"/>
          <w:szCs w:val="24"/>
        </w:rPr>
      </w:pPr>
    </w:p>
    <w:p w14:paraId="239E842B" w14:textId="640F4E1E" w:rsidR="00D055F5" w:rsidRDefault="00D055F5" w:rsidP="00D055F5">
      <w:pPr>
        <w:spacing w:after="0" w:line="240" w:lineRule="auto"/>
        <w:rPr>
          <w:sz w:val="24"/>
          <w:szCs w:val="24"/>
        </w:rPr>
      </w:pPr>
      <w:r w:rsidRPr="00C91B0E">
        <w:rPr>
          <w:sz w:val="24"/>
          <w:szCs w:val="24"/>
        </w:rPr>
        <w:t xml:space="preserve">Surprisingly, </w:t>
      </w:r>
      <w:r w:rsidR="00726C9A" w:rsidRPr="00C91B0E">
        <w:rPr>
          <w:sz w:val="24"/>
          <w:szCs w:val="24"/>
        </w:rPr>
        <w:t xml:space="preserve">while </w:t>
      </w:r>
      <w:r w:rsidRPr="00C91B0E">
        <w:rPr>
          <w:sz w:val="24"/>
          <w:szCs w:val="24"/>
        </w:rPr>
        <w:t xml:space="preserve">the risk of poverty </w:t>
      </w:r>
      <w:r w:rsidR="00726C9A" w:rsidRPr="00C91B0E">
        <w:rPr>
          <w:sz w:val="24"/>
          <w:szCs w:val="24"/>
        </w:rPr>
        <w:t xml:space="preserve">does </w:t>
      </w:r>
      <w:r w:rsidRPr="00C91B0E">
        <w:rPr>
          <w:sz w:val="24"/>
          <w:szCs w:val="24"/>
        </w:rPr>
        <w:t>seem</w:t>
      </w:r>
      <w:r w:rsidR="00726C9A" w:rsidRPr="00C91B0E">
        <w:rPr>
          <w:sz w:val="24"/>
          <w:szCs w:val="24"/>
        </w:rPr>
        <w:t xml:space="preserve"> </w:t>
      </w:r>
      <w:r w:rsidRPr="00C91B0E">
        <w:rPr>
          <w:sz w:val="24"/>
          <w:szCs w:val="24"/>
        </w:rPr>
        <w:t>to matter</w:t>
      </w:r>
      <w:r w:rsidR="00726C9A" w:rsidRPr="00C91B0E">
        <w:rPr>
          <w:sz w:val="24"/>
          <w:szCs w:val="24"/>
        </w:rPr>
        <w:t>,</w:t>
      </w:r>
      <w:r w:rsidRPr="00C91B0E">
        <w:rPr>
          <w:sz w:val="24"/>
          <w:szCs w:val="24"/>
        </w:rPr>
        <w:t xml:space="preserve"> the effect is </w:t>
      </w:r>
      <w:r w:rsidR="00FD2095" w:rsidRPr="00C91B0E">
        <w:rPr>
          <w:sz w:val="24"/>
          <w:szCs w:val="24"/>
        </w:rPr>
        <w:t xml:space="preserve">small </w:t>
      </w:r>
      <w:r w:rsidRPr="00C91B0E">
        <w:rPr>
          <w:sz w:val="24"/>
          <w:szCs w:val="24"/>
        </w:rPr>
        <w:t>(39% versus 42%) and the risk of unemployment actually has the opposite effect than the one we would expect: respondents at high risks of unemployment have a lower predicted probability (36%) of choosing leave compared to other respondents (46%). Equally, renting also has the opposite effect of the one we would expect: respondents who rent their accommodation have lower predicted probability of supporting leave (35% versus 41%).</w:t>
      </w:r>
    </w:p>
    <w:p w14:paraId="33489B4D" w14:textId="77777777" w:rsidR="001F421A" w:rsidRDefault="001F421A" w:rsidP="00D055F5">
      <w:pPr>
        <w:spacing w:after="0" w:line="240" w:lineRule="auto"/>
        <w:rPr>
          <w:sz w:val="24"/>
          <w:szCs w:val="24"/>
        </w:rPr>
      </w:pPr>
    </w:p>
    <w:p w14:paraId="255CF14F" w14:textId="77777777" w:rsidR="001F421A" w:rsidRPr="00C91B0E" w:rsidRDefault="001F421A" w:rsidP="001F421A">
      <w:pPr>
        <w:spacing w:after="0" w:line="240" w:lineRule="auto"/>
        <w:rPr>
          <w:i/>
          <w:sz w:val="24"/>
          <w:szCs w:val="24"/>
        </w:rPr>
      </w:pPr>
      <w:r w:rsidRPr="00C91B0E">
        <w:rPr>
          <w:i/>
          <w:sz w:val="24"/>
          <w:szCs w:val="24"/>
        </w:rPr>
        <w:t>Logistic analysis on several independent variables</w:t>
      </w:r>
    </w:p>
    <w:p w14:paraId="79A21D04" w14:textId="77777777" w:rsidR="001F421A" w:rsidRPr="00C91B0E" w:rsidRDefault="001F421A" w:rsidP="001F421A">
      <w:pPr>
        <w:spacing w:after="0" w:line="240" w:lineRule="auto"/>
        <w:rPr>
          <w:sz w:val="24"/>
          <w:szCs w:val="24"/>
        </w:rPr>
      </w:pPr>
    </w:p>
    <w:p w14:paraId="5B4020EE" w14:textId="18966276" w:rsidR="001F421A" w:rsidRPr="00C91B0E" w:rsidRDefault="001F421A" w:rsidP="001F421A">
      <w:pPr>
        <w:spacing w:after="0" w:line="240" w:lineRule="auto"/>
        <w:rPr>
          <w:sz w:val="24"/>
          <w:szCs w:val="24"/>
        </w:rPr>
      </w:pPr>
      <w:r w:rsidRPr="00C91B0E">
        <w:rPr>
          <w:sz w:val="24"/>
          <w:szCs w:val="24"/>
        </w:rPr>
        <w:t xml:space="preserve">Figure 1 reports the results for different models that test the effects of several factors jointly. It plots semi-standardised coefficients – i.e. coefficients have been rescaled by the standard deviation of the variable in the data. A positive coefficient suggests the factor </w:t>
      </w:r>
      <w:r w:rsidRPr="00C91B0E">
        <w:rPr>
          <w:sz w:val="24"/>
          <w:szCs w:val="24"/>
        </w:rPr>
        <w:lastRenderedPageBreak/>
        <w:t>under consideration increases the probability of the respondent.</w:t>
      </w:r>
      <w:r>
        <w:rPr>
          <w:sz w:val="24"/>
          <w:szCs w:val="24"/>
        </w:rPr>
        <w:t xml:space="preserve"> </w:t>
      </w:r>
      <w:r w:rsidRPr="00C91B0E">
        <w:rPr>
          <w:sz w:val="24"/>
          <w:szCs w:val="24"/>
        </w:rPr>
        <w:t>For each variable, the figure also displays the 95% confidence interval which is shown by the line around the point estimate: when it intersects the 0-line</w:t>
      </w:r>
      <w:r>
        <w:rPr>
          <w:sz w:val="24"/>
          <w:szCs w:val="24"/>
        </w:rPr>
        <w:t>,</w:t>
      </w:r>
      <w:r w:rsidRPr="00C91B0E">
        <w:rPr>
          <w:sz w:val="24"/>
          <w:szCs w:val="24"/>
        </w:rPr>
        <w:t xml:space="preserve"> the coefficient is not statistically different from 0. </w:t>
      </w:r>
    </w:p>
    <w:p w14:paraId="099D1D11" w14:textId="77777777" w:rsidR="001F421A" w:rsidRDefault="001F421A" w:rsidP="00D055F5">
      <w:pPr>
        <w:spacing w:after="0" w:line="240" w:lineRule="auto"/>
        <w:rPr>
          <w:sz w:val="24"/>
          <w:szCs w:val="24"/>
        </w:rPr>
      </w:pPr>
    </w:p>
    <w:p w14:paraId="6B70D2D7" w14:textId="62556EC0" w:rsidR="001F421A" w:rsidRDefault="001F421A">
      <w:pPr>
        <w:rPr>
          <w:sz w:val="24"/>
          <w:szCs w:val="24"/>
        </w:rPr>
      </w:pPr>
      <w:r>
        <w:rPr>
          <w:sz w:val="24"/>
          <w:szCs w:val="24"/>
        </w:rPr>
        <w:br w:type="page"/>
      </w:r>
    </w:p>
    <w:p w14:paraId="5A545F1D" w14:textId="77777777" w:rsidR="00D073A5" w:rsidRPr="001F421A" w:rsidRDefault="00D073A5" w:rsidP="008A0967">
      <w:pPr>
        <w:spacing w:after="0" w:line="240" w:lineRule="auto"/>
        <w:rPr>
          <w:b/>
          <w:sz w:val="24"/>
        </w:rPr>
      </w:pPr>
      <w:r w:rsidRPr="001F421A">
        <w:rPr>
          <w:b/>
          <w:sz w:val="24"/>
        </w:rPr>
        <w:lastRenderedPageBreak/>
        <w:t>Table 1: Logistic regression analysis of one independent variable at a time</w:t>
      </w:r>
    </w:p>
    <w:p w14:paraId="71D1D3DF" w14:textId="77777777" w:rsidR="003F356D" w:rsidRPr="00C91B0E" w:rsidRDefault="003F356D" w:rsidP="008A0967">
      <w:pPr>
        <w:spacing w:after="0" w:line="240" w:lineRule="auto"/>
        <w:rPr>
          <w:b/>
        </w:rPr>
      </w:pPr>
    </w:p>
    <w:tbl>
      <w:tblPr>
        <w:tblW w:w="8524" w:type="dxa"/>
        <w:tblLook w:val="04A0" w:firstRow="1" w:lastRow="0" w:firstColumn="1" w:lastColumn="0" w:noHBand="0" w:noVBand="1"/>
      </w:tblPr>
      <w:tblGrid>
        <w:gridCol w:w="2127"/>
        <w:gridCol w:w="2409"/>
        <w:gridCol w:w="1668"/>
        <w:gridCol w:w="1160"/>
        <w:gridCol w:w="1160"/>
      </w:tblGrid>
      <w:tr w:rsidR="00D073A5" w:rsidRPr="001F421A" w14:paraId="726A0414" w14:textId="77777777" w:rsidTr="001F421A">
        <w:trPr>
          <w:trHeight w:val="290"/>
        </w:trPr>
        <w:tc>
          <w:tcPr>
            <w:tcW w:w="2127" w:type="dxa"/>
            <w:tcBorders>
              <w:top w:val="single" w:sz="4" w:space="0" w:color="auto"/>
              <w:left w:val="nil"/>
              <w:right w:val="nil"/>
            </w:tcBorders>
            <w:shd w:val="clear" w:color="auto" w:fill="auto"/>
            <w:noWrap/>
            <w:vAlign w:val="bottom"/>
            <w:hideMark/>
          </w:tcPr>
          <w:p w14:paraId="19B9F7EB" w14:textId="77777777" w:rsidR="00D073A5" w:rsidRPr="001F421A" w:rsidRDefault="00D073A5" w:rsidP="008A0967">
            <w:pPr>
              <w:spacing w:after="0" w:line="240" w:lineRule="auto"/>
              <w:rPr>
                <w:rFonts w:eastAsia="Times New Roman" w:cs="Times New Roman"/>
                <w:b/>
                <w:color w:val="000000"/>
                <w:sz w:val="24"/>
                <w:lang w:eastAsia="en-GB"/>
              </w:rPr>
            </w:pPr>
            <w:r w:rsidRPr="001F421A">
              <w:rPr>
                <w:rFonts w:eastAsia="Times New Roman" w:cs="Times New Roman"/>
                <w:b/>
                <w:color w:val="000000"/>
                <w:sz w:val="24"/>
                <w:lang w:eastAsia="en-GB"/>
              </w:rPr>
              <w:t> Variable</w:t>
            </w:r>
          </w:p>
        </w:tc>
        <w:tc>
          <w:tcPr>
            <w:tcW w:w="2409" w:type="dxa"/>
            <w:tcBorders>
              <w:top w:val="single" w:sz="4" w:space="0" w:color="auto"/>
              <w:left w:val="nil"/>
              <w:right w:val="nil"/>
            </w:tcBorders>
            <w:shd w:val="clear" w:color="auto" w:fill="auto"/>
            <w:noWrap/>
            <w:vAlign w:val="bottom"/>
            <w:hideMark/>
          </w:tcPr>
          <w:p w14:paraId="0E68A70D" w14:textId="77777777" w:rsidR="00D073A5" w:rsidRPr="001F421A" w:rsidRDefault="00D073A5" w:rsidP="008A0967">
            <w:pPr>
              <w:spacing w:after="0" w:line="240" w:lineRule="auto"/>
              <w:rPr>
                <w:rFonts w:eastAsia="Times New Roman" w:cs="Times New Roman"/>
                <w:b/>
                <w:color w:val="000000"/>
                <w:sz w:val="24"/>
                <w:lang w:eastAsia="en-GB"/>
              </w:rPr>
            </w:pPr>
            <w:r w:rsidRPr="001F421A">
              <w:rPr>
                <w:rFonts w:eastAsia="Times New Roman" w:cs="Times New Roman"/>
                <w:b/>
                <w:color w:val="000000"/>
                <w:sz w:val="24"/>
                <w:lang w:eastAsia="en-GB"/>
              </w:rPr>
              <w:t>Respondent</w:t>
            </w:r>
          </w:p>
        </w:tc>
        <w:tc>
          <w:tcPr>
            <w:tcW w:w="1668" w:type="dxa"/>
            <w:tcBorders>
              <w:top w:val="single" w:sz="4" w:space="0" w:color="auto"/>
              <w:left w:val="nil"/>
              <w:right w:val="nil"/>
            </w:tcBorders>
            <w:shd w:val="clear" w:color="auto" w:fill="auto"/>
            <w:noWrap/>
            <w:vAlign w:val="bottom"/>
            <w:hideMark/>
          </w:tcPr>
          <w:p w14:paraId="5FDD456F" w14:textId="77777777" w:rsidR="00D073A5" w:rsidRPr="001F421A" w:rsidRDefault="00D073A5" w:rsidP="008A0967">
            <w:pPr>
              <w:spacing w:after="0" w:line="240" w:lineRule="auto"/>
              <w:jc w:val="center"/>
              <w:rPr>
                <w:rFonts w:eastAsia="Times New Roman" w:cs="Times New Roman"/>
                <w:b/>
                <w:color w:val="000000"/>
                <w:sz w:val="24"/>
                <w:lang w:eastAsia="en-GB"/>
              </w:rPr>
            </w:pPr>
            <w:r w:rsidRPr="001F421A">
              <w:rPr>
                <w:rFonts w:eastAsia="Times New Roman" w:cs="Times New Roman"/>
                <w:b/>
                <w:color w:val="000000"/>
                <w:sz w:val="24"/>
                <w:lang w:eastAsia="en-GB"/>
              </w:rPr>
              <w:t>Predicted probability</w:t>
            </w:r>
          </w:p>
        </w:tc>
        <w:tc>
          <w:tcPr>
            <w:tcW w:w="2320" w:type="dxa"/>
            <w:gridSpan w:val="2"/>
            <w:tcBorders>
              <w:top w:val="single" w:sz="4" w:space="0" w:color="auto"/>
              <w:left w:val="nil"/>
              <w:right w:val="nil"/>
            </w:tcBorders>
            <w:shd w:val="clear" w:color="auto" w:fill="auto"/>
            <w:noWrap/>
            <w:vAlign w:val="bottom"/>
            <w:hideMark/>
          </w:tcPr>
          <w:p w14:paraId="46BD9781" w14:textId="77777777" w:rsidR="00D073A5" w:rsidRPr="001F421A" w:rsidRDefault="00D073A5" w:rsidP="003C25AD">
            <w:pPr>
              <w:spacing w:after="0" w:line="240" w:lineRule="auto"/>
              <w:jc w:val="center"/>
              <w:rPr>
                <w:rFonts w:eastAsia="Times New Roman" w:cs="Times New Roman"/>
                <w:b/>
                <w:color w:val="000000"/>
                <w:sz w:val="24"/>
                <w:lang w:eastAsia="en-GB"/>
              </w:rPr>
            </w:pPr>
            <w:r w:rsidRPr="001F421A">
              <w:rPr>
                <w:rFonts w:eastAsia="Times New Roman" w:cs="Times New Roman"/>
                <w:b/>
                <w:color w:val="000000"/>
                <w:sz w:val="24"/>
                <w:lang w:eastAsia="en-GB"/>
              </w:rPr>
              <w:t>95% confidence interval</w:t>
            </w:r>
          </w:p>
        </w:tc>
      </w:tr>
      <w:tr w:rsidR="00D073A5" w:rsidRPr="001F421A" w14:paraId="7220C69B" w14:textId="77777777" w:rsidTr="001F421A">
        <w:trPr>
          <w:trHeight w:val="290"/>
        </w:trPr>
        <w:tc>
          <w:tcPr>
            <w:tcW w:w="2127" w:type="dxa"/>
            <w:tcBorders>
              <w:top w:val="nil"/>
              <w:left w:val="nil"/>
              <w:bottom w:val="nil"/>
              <w:right w:val="nil"/>
            </w:tcBorders>
            <w:shd w:val="clear" w:color="auto" w:fill="auto"/>
            <w:noWrap/>
            <w:vAlign w:val="bottom"/>
            <w:hideMark/>
          </w:tcPr>
          <w:p w14:paraId="682B79C3"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Gender</w:t>
            </w:r>
          </w:p>
        </w:tc>
        <w:tc>
          <w:tcPr>
            <w:tcW w:w="2409" w:type="dxa"/>
            <w:tcBorders>
              <w:top w:val="nil"/>
              <w:left w:val="nil"/>
              <w:bottom w:val="nil"/>
              <w:right w:val="nil"/>
            </w:tcBorders>
            <w:shd w:val="clear" w:color="auto" w:fill="auto"/>
            <w:noWrap/>
            <w:vAlign w:val="bottom"/>
            <w:hideMark/>
          </w:tcPr>
          <w:p w14:paraId="66EB097A"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Male</w:t>
            </w:r>
          </w:p>
        </w:tc>
        <w:tc>
          <w:tcPr>
            <w:tcW w:w="1668" w:type="dxa"/>
            <w:tcBorders>
              <w:top w:val="nil"/>
              <w:left w:val="nil"/>
              <w:bottom w:val="nil"/>
              <w:right w:val="nil"/>
            </w:tcBorders>
            <w:shd w:val="clear" w:color="auto" w:fill="auto"/>
            <w:noWrap/>
            <w:vAlign w:val="bottom"/>
            <w:hideMark/>
          </w:tcPr>
          <w:p w14:paraId="61D76CC7" w14:textId="77777777" w:rsidR="00D073A5" w:rsidRPr="001F421A" w:rsidRDefault="003F356D"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0.3978</w:t>
            </w:r>
          </w:p>
        </w:tc>
        <w:tc>
          <w:tcPr>
            <w:tcW w:w="1160" w:type="dxa"/>
            <w:tcBorders>
              <w:top w:val="nil"/>
              <w:left w:val="nil"/>
              <w:bottom w:val="nil"/>
              <w:right w:val="nil"/>
            </w:tcBorders>
            <w:shd w:val="clear" w:color="auto" w:fill="auto"/>
            <w:noWrap/>
            <w:vAlign w:val="bottom"/>
            <w:hideMark/>
          </w:tcPr>
          <w:p w14:paraId="2074F7DF"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0.3895</w:t>
            </w:r>
          </w:p>
        </w:tc>
        <w:tc>
          <w:tcPr>
            <w:tcW w:w="1160" w:type="dxa"/>
            <w:tcBorders>
              <w:top w:val="nil"/>
              <w:left w:val="nil"/>
              <w:bottom w:val="nil"/>
              <w:right w:val="nil"/>
            </w:tcBorders>
            <w:shd w:val="clear" w:color="auto" w:fill="auto"/>
            <w:noWrap/>
            <w:vAlign w:val="bottom"/>
            <w:hideMark/>
          </w:tcPr>
          <w:p w14:paraId="4255D6DD"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0.4060</w:t>
            </w:r>
          </w:p>
        </w:tc>
      </w:tr>
      <w:tr w:rsidR="00D073A5" w:rsidRPr="001F421A" w14:paraId="5A01F24A" w14:textId="77777777" w:rsidTr="001F421A">
        <w:trPr>
          <w:trHeight w:val="290"/>
        </w:trPr>
        <w:tc>
          <w:tcPr>
            <w:tcW w:w="2127" w:type="dxa"/>
            <w:tcBorders>
              <w:top w:val="nil"/>
              <w:left w:val="nil"/>
              <w:bottom w:val="single" w:sz="4" w:space="0" w:color="auto"/>
              <w:right w:val="nil"/>
            </w:tcBorders>
            <w:shd w:val="clear" w:color="auto" w:fill="auto"/>
            <w:noWrap/>
            <w:vAlign w:val="bottom"/>
            <w:hideMark/>
          </w:tcPr>
          <w:p w14:paraId="6E701ED8" w14:textId="77777777" w:rsidR="00D073A5" w:rsidRPr="001F421A" w:rsidRDefault="00D073A5" w:rsidP="008A0967">
            <w:pPr>
              <w:spacing w:after="0" w:line="240" w:lineRule="auto"/>
              <w:jc w:val="center"/>
              <w:rPr>
                <w:rFonts w:eastAsia="Times New Roman" w:cs="Times New Roman"/>
                <w:color w:val="000000"/>
                <w:sz w:val="24"/>
                <w:lang w:eastAsia="en-GB"/>
              </w:rPr>
            </w:pPr>
          </w:p>
        </w:tc>
        <w:tc>
          <w:tcPr>
            <w:tcW w:w="2409" w:type="dxa"/>
            <w:tcBorders>
              <w:top w:val="nil"/>
              <w:left w:val="nil"/>
              <w:bottom w:val="single" w:sz="4" w:space="0" w:color="auto"/>
              <w:right w:val="nil"/>
            </w:tcBorders>
            <w:shd w:val="clear" w:color="auto" w:fill="auto"/>
            <w:noWrap/>
            <w:vAlign w:val="bottom"/>
            <w:hideMark/>
          </w:tcPr>
          <w:p w14:paraId="5E5C2C18"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Female</w:t>
            </w:r>
          </w:p>
        </w:tc>
        <w:tc>
          <w:tcPr>
            <w:tcW w:w="1668" w:type="dxa"/>
            <w:tcBorders>
              <w:top w:val="nil"/>
              <w:left w:val="nil"/>
              <w:bottom w:val="single" w:sz="4" w:space="0" w:color="auto"/>
              <w:right w:val="nil"/>
            </w:tcBorders>
            <w:shd w:val="clear" w:color="auto" w:fill="auto"/>
            <w:noWrap/>
            <w:vAlign w:val="bottom"/>
            <w:hideMark/>
          </w:tcPr>
          <w:p w14:paraId="111476A7" w14:textId="77777777" w:rsidR="00D073A5" w:rsidRPr="001F421A" w:rsidRDefault="003F356D"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0.3980</w:t>
            </w:r>
          </w:p>
        </w:tc>
        <w:tc>
          <w:tcPr>
            <w:tcW w:w="1160" w:type="dxa"/>
            <w:tcBorders>
              <w:top w:val="nil"/>
              <w:left w:val="nil"/>
              <w:bottom w:val="single" w:sz="4" w:space="0" w:color="auto"/>
              <w:right w:val="nil"/>
            </w:tcBorders>
            <w:shd w:val="clear" w:color="auto" w:fill="auto"/>
            <w:noWrap/>
            <w:vAlign w:val="bottom"/>
            <w:hideMark/>
          </w:tcPr>
          <w:p w14:paraId="5918A7A7" w14:textId="77777777" w:rsidR="00D073A5" w:rsidRPr="001F421A" w:rsidRDefault="00D073A5"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0.3894</w:t>
            </w:r>
          </w:p>
        </w:tc>
        <w:tc>
          <w:tcPr>
            <w:tcW w:w="1160" w:type="dxa"/>
            <w:tcBorders>
              <w:top w:val="nil"/>
              <w:left w:val="nil"/>
              <w:bottom w:val="single" w:sz="4" w:space="0" w:color="auto"/>
              <w:right w:val="nil"/>
            </w:tcBorders>
            <w:shd w:val="clear" w:color="auto" w:fill="auto"/>
            <w:noWrap/>
            <w:vAlign w:val="bottom"/>
            <w:hideMark/>
          </w:tcPr>
          <w:p w14:paraId="21E49A58"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0.4066</w:t>
            </w:r>
          </w:p>
        </w:tc>
      </w:tr>
      <w:tr w:rsidR="00D073A5" w:rsidRPr="001F421A" w14:paraId="49DC7BD8" w14:textId="77777777" w:rsidTr="001F421A">
        <w:trPr>
          <w:trHeight w:val="290"/>
        </w:trPr>
        <w:tc>
          <w:tcPr>
            <w:tcW w:w="2127" w:type="dxa"/>
            <w:tcBorders>
              <w:top w:val="single" w:sz="4" w:space="0" w:color="auto"/>
              <w:left w:val="nil"/>
              <w:bottom w:val="nil"/>
              <w:right w:val="nil"/>
            </w:tcBorders>
            <w:shd w:val="clear" w:color="auto" w:fill="auto"/>
            <w:noWrap/>
            <w:vAlign w:val="bottom"/>
            <w:hideMark/>
          </w:tcPr>
          <w:p w14:paraId="17B8F64C"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Ethnicity</w:t>
            </w:r>
          </w:p>
        </w:tc>
        <w:tc>
          <w:tcPr>
            <w:tcW w:w="2409" w:type="dxa"/>
            <w:tcBorders>
              <w:top w:val="single" w:sz="4" w:space="0" w:color="auto"/>
              <w:left w:val="nil"/>
              <w:bottom w:val="nil"/>
              <w:right w:val="nil"/>
            </w:tcBorders>
            <w:shd w:val="clear" w:color="auto" w:fill="auto"/>
            <w:noWrap/>
            <w:vAlign w:val="bottom"/>
            <w:hideMark/>
          </w:tcPr>
          <w:p w14:paraId="2DCD8D4A"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Non-white</w:t>
            </w:r>
          </w:p>
        </w:tc>
        <w:tc>
          <w:tcPr>
            <w:tcW w:w="1668" w:type="dxa"/>
            <w:tcBorders>
              <w:top w:val="single" w:sz="4" w:space="0" w:color="auto"/>
              <w:left w:val="nil"/>
              <w:bottom w:val="nil"/>
              <w:right w:val="nil"/>
            </w:tcBorders>
            <w:shd w:val="clear" w:color="auto" w:fill="auto"/>
            <w:noWrap/>
            <w:vAlign w:val="bottom"/>
            <w:hideMark/>
          </w:tcPr>
          <w:p w14:paraId="41B214E4" w14:textId="77777777" w:rsidR="00D073A5" w:rsidRPr="001F421A" w:rsidRDefault="003F356D"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0.3094</w:t>
            </w:r>
          </w:p>
        </w:tc>
        <w:tc>
          <w:tcPr>
            <w:tcW w:w="1160" w:type="dxa"/>
            <w:tcBorders>
              <w:top w:val="single" w:sz="4" w:space="0" w:color="auto"/>
              <w:left w:val="nil"/>
              <w:bottom w:val="nil"/>
              <w:right w:val="nil"/>
            </w:tcBorders>
            <w:shd w:val="clear" w:color="auto" w:fill="auto"/>
            <w:noWrap/>
            <w:vAlign w:val="bottom"/>
            <w:hideMark/>
          </w:tcPr>
          <w:p w14:paraId="67D853D4"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0.2855</w:t>
            </w:r>
          </w:p>
        </w:tc>
        <w:tc>
          <w:tcPr>
            <w:tcW w:w="1160" w:type="dxa"/>
            <w:tcBorders>
              <w:top w:val="single" w:sz="4" w:space="0" w:color="auto"/>
              <w:left w:val="nil"/>
              <w:bottom w:val="nil"/>
              <w:right w:val="nil"/>
            </w:tcBorders>
            <w:shd w:val="clear" w:color="auto" w:fill="auto"/>
            <w:noWrap/>
            <w:vAlign w:val="bottom"/>
            <w:hideMark/>
          </w:tcPr>
          <w:p w14:paraId="7114E685"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0.3332</w:t>
            </w:r>
          </w:p>
        </w:tc>
      </w:tr>
      <w:tr w:rsidR="00D073A5" w:rsidRPr="001F421A" w14:paraId="71B205A7" w14:textId="77777777" w:rsidTr="001F421A">
        <w:trPr>
          <w:trHeight w:val="290"/>
        </w:trPr>
        <w:tc>
          <w:tcPr>
            <w:tcW w:w="2127" w:type="dxa"/>
            <w:tcBorders>
              <w:top w:val="nil"/>
              <w:left w:val="nil"/>
              <w:bottom w:val="single" w:sz="4" w:space="0" w:color="auto"/>
              <w:right w:val="nil"/>
            </w:tcBorders>
            <w:shd w:val="clear" w:color="auto" w:fill="auto"/>
            <w:noWrap/>
            <w:vAlign w:val="bottom"/>
            <w:hideMark/>
          </w:tcPr>
          <w:p w14:paraId="2A87ED4E" w14:textId="77777777" w:rsidR="00D073A5" w:rsidRPr="001F421A" w:rsidRDefault="00D073A5" w:rsidP="008A0967">
            <w:pPr>
              <w:spacing w:after="0" w:line="240" w:lineRule="auto"/>
              <w:jc w:val="center"/>
              <w:rPr>
                <w:rFonts w:eastAsia="Times New Roman" w:cs="Times New Roman"/>
                <w:color w:val="000000"/>
                <w:sz w:val="24"/>
                <w:lang w:eastAsia="en-GB"/>
              </w:rPr>
            </w:pPr>
          </w:p>
        </w:tc>
        <w:tc>
          <w:tcPr>
            <w:tcW w:w="2409" w:type="dxa"/>
            <w:tcBorders>
              <w:top w:val="nil"/>
              <w:left w:val="nil"/>
              <w:bottom w:val="single" w:sz="4" w:space="0" w:color="auto"/>
              <w:right w:val="nil"/>
            </w:tcBorders>
            <w:shd w:val="clear" w:color="auto" w:fill="auto"/>
            <w:noWrap/>
            <w:vAlign w:val="bottom"/>
            <w:hideMark/>
          </w:tcPr>
          <w:p w14:paraId="3BA78907"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White</w:t>
            </w:r>
          </w:p>
        </w:tc>
        <w:tc>
          <w:tcPr>
            <w:tcW w:w="1668" w:type="dxa"/>
            <w:tcBorders>
              <w:top w:val="nil"/>
              <w:left w:val="nil"/>
              <w:bottom w:val="single" w:sz="4" w:space="0" w:color="auto"/>
              <w:right w:val="nil"/>
            </w:tcBorders>
            <w:shd w:val="clear" w:color="auto" w:fill="auto"/>
            <w:noWrap/>
            <w:vAlign w:val="bottom"/>
            <w:hideMark/>
          </w:tcPr>
          <w:p w14:paraId="25409428" w14:textId="77777777" w:rsidR="00D073A5" w:rsidRPr="001F421A" w:rsidRDefault="003F356D"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0.4032</w:t>
            </w:r>
          </w:p>
        </w:tc>
        <w:tc>
          <w:tcPr>
            <w:tcW w:w="1160" w:type="dxa"/>
            <w:tcBorders>
              <w:top w:val="nil"/>
              <w:left w:val="nil"/>
              <w:bottom w:val="single" w:sz="4" w:space="0" w:color="auto"/>
              <w:right w:val="nil"/>
            </w:tcBorders>
            <w:shd w:val="clear" w:color="auto" w:fill="auto"/>
            <w:noWrap/>
            <w:vAlign w:val="bottom"/>
            <w:hideMark/>
          </w:tcPr>
          <w:p w14:paraId="3980885D"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0.3970</w:t>
            </w:r>
          </w:p>
        </w:tc>
        <w:tc>
          <w:tcPr>
            <w:tcW w:w="1160" w:type="dxa"/>
            <w:tcBorders>
              <w:top w:val="nil"/>
              <w:left w:val="nil"/>
              <w:bottom w:val="single" w:sz="4" w:space="0" w:color="auto"/>
              <w:right w:val="nil"/>
            </w:tcBorders>
            <w:shd w:val="clear" w:color="auto" w:fill="auto"/>
            <w:noWrap/>
            <w:vAlign w:val="bottom"/>
            <w:hideMark/>
          </w:tcPr>
          <w:p w14:paraId="12FC3CB7"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0.4093</w:t>
            </w:r>
          </w:p>
        </w:tc>
      </w:tr>
      <w:tr w:rsidR="00D073A5" w:rsidRPr="001F421A" w14:paraId="17A44F65" w14:textId="77777777" w:rsidTr="001F421A">
        <w:trPr>
          <w:trHeight w:val="290"/>
        </w:trPr>
        <w:tc>
          <w:tcPr>
            <w:tcW w:w="2127" w:type="dxa"/>
            <w:tcBorders>
              <w:top w:val="single" w:sz="4" w:space="0" w:color="auto"/>
              <w:left w:val="nil"/>
              <w:bottom w:val="nil"/>
              <w:right w:val="nil"/>
            </w:tcBorders>
            <w:shd w:val="clear" w:color="auto" w:fill="auto"/>
            <w:noWrap/>
            <w:vAlign w:val="bottom"/>
            <w:hideMark/>
          </w:tcPr>
          <w:p w14:paraId="558FDB51"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Elderly (65+)</w:t>
            </w:r>
          </w:p>
        </w:tc>
        <w:tc>
          <w:tcPr>
            <w:tcW w:w="2409" w:type="dxa"/>
            <w:tcBorders>
              <w:top w:val="single" w:sz="4" w:space="0" w:color="auto"/>
              <w:left w:val="nil"/>
              <w:bottom w:val="nil"/>
              <w:right w:val="nil"/>
            </w:tcBorders>
            <w:shd w:val="clear" w:color="auto" w:fill="auto"/>
            <w:noWrap/>
            <w:vAlign w:val="bottom"/>
            <w:hideMark/>
          </w:tcPr>
          <w:p w14:paraId="0ADD91D0"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Not elderly</w:t>
            </w:r>
          </w:p>
        </w:tc>
        <w:tc>
          <w:tcPr>
            <w:tcW w:w="1668" w:type="dxa"/>
            <w:tcBorders>
              <w:top w:val="single" w:sz="4" w:space="0" w:color="auto"/>
              <w:left w:val="nil"/>
              <w:bottom w:val="nil"/>
              <w:right w:val="nil"/>
            </w:tcBorders>
            <w:shd w:val="clear" w:color="auto" w:fill="auto"/>
            <w:noWrap/>
            <w:vAlign w:val="bottom"/>
            <w:hideMark/>
          </w:tcPr>
          <w:p w14:paraId="712F94CD" w14:textId="77777777" w:rsidR="00D073A5" w:rsidRPr="001F421A" w:rsidRDefault="003F356D"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0.3676</w:t>
            </w:r>
          </w:p>
        </w:tc>
        <w:tc>
          <w:tcPr>
            <w:tcW w:w="1160" w:type="dxa"/>
            <w:tcBorders>
              <w:top w:val="single" w:sz="4" w:space="0" w:color="auto"/>
              <w:left w:val="nil"/>
              <w:bottom w:val="nil"/>
              <w:right w:val="nil"/>
            </w:tcBorders>
            <w:shd w:val="clear" w:color="auto" w:fill="auto"/>
            <w:noWrap/>
            <w:vAlign w:val="bottom"/>
            <w:hideMark/>
          </w:tcPr>
          <w:p w14:paraId="496C7E2C"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0.3609</w:t>
            </w:r>
          </w:p>
        </w:tc>
        <w:tc>
          <w:tcPr>
            <w:tcW w:w="1160" w:type="dxa"/>
            <w:tcBorders>
              <w:top w:val="single" w:sz="4" w:space="0" w:color="auto"/>
              <w:left w:val="nil"/>
              <w:bottom w:val="nil"/>
              <w:right w:val="nil"/>
            </w:tcBorders>
            <w:shd w:val="clear" w:color="auto" w:fill="auto"/>
            <w:noWrap/>
            <w:vAlign w:val="bottom"/>
            <w:hideMark/>
          </w:tcPr>
          <w:p w14:paraId="62314802"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0.3743</w:t>
            </w:r>
          </w:p>
        </w:tc>
      </w:tr>
      <w:tr w:rsidR="00D073A5" w:rsidRPr="001F421A" w14:paraId="21EDC61B" w14:textId="77777777" w:rsidTr="001F421A">
        <w:trPr>
          <w:trHeight w:val="290"/>
        </w:trPr>
        <w:tc>
          <w:tcPr>
            <w:tcW w:w="2127" w:type="dxa"/>
            <w:tcBorders>
              <w:top w:val="nil"/>
              <w:left w:val="nil"/>
              <w:bottom w:val="nil"/>
              <w:right w:val="nil"/>
            </w:tcBorders>
            <w:shd w:val="clear" w:color="auto" w:fill="auto"/>
            <w:noWrap/>
            <w:vAlign w:val="bottom"/>
            <w:hideMark/>
          </w:tcPr>
          <w:p w14:paraId="158680EE" w14:textId="77777777" w:rsidR="00D073A5" w:rsidRPr="001F421A" w:rsidRDefault="00D073A5" w:rsidP="008A0967">
            <w:pPr>
              <w:spacing w:after="0" w:line="240" w:lineRule="auto"/>
              <w:jc w:val="center"/>
              <w:rPr>
                <w:rFonts w:eastAsia="Times New Roman" w:cs="Times New Roman"/>
                <w:color w:val="000000"/>
                <w:sz w:val="24"/>
                <w:lang w:eastAsia="en-GB"/>
              </w:rPr>
            </w:pPr>
          </w:p>
        </w:tc>
        <w:tc>
          <w:tcPr>
            <w:tcW w:w="2409" w:type="dxa"/>
            <w:tcBorders>
              <w:top w:val="nil"/>
              <w:left w:val="nil"/>
              <w:bottom w:val="nil"/>
              <w:right w:val="nil"/>
            </w:tcBorders>
            <w:shd w:val="clear" w:color="auto" w:fill="auto"/>
            <w:noWrap/>
            <w:vAlign w:val="bottom"/>
            <w:hideMark/>
          </w:tcPr>
          <w:p w14:paraId="640CD684"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Elderly</w:t>
            </w:r>
          </w:p>
        </w:tc>
        <w:tc>
          <w:tcPr>
            <w:tcW w:w="1668" w:type="dxa"/>
            <w:tcBorders>
              <w:top w:val="nil"/>
              <w:left w:val="nil"/>
              <w:bottom w:val="nil"/>
              <w:right w:val="nil"/>
            </w:tcBorders>
            <w:shd w:val="clear" w:color="auto" w:fill="auto"/>
            <w:noWrap/>
            <w:vAlign w:val="bottom"/>
            <w:hideMark/>
          </w:tcPr>
          <w:p w14:paraId="5B8E7EA9" w14:textId="77777777" w:rsidR="00D073A5" w:rsidRPr="001F421A" w:rsidRDefault="003F356D"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0.5008</w:t>
            </w:r>
          </w:p>
        </w:tc>
        <w:tc>
          <w:tcPr>
            <w:tcW w:w="1160" w:type="dxa"/>
            <w:tcBorders>
              <w:top w:val="nil"/>
              <w:left w:val="nil"/>
              <w:bottom w:val="nil"/>
              <w:right w:val="nil"/>
            </w:tcBorders>
            <w:shd w:val="clear" w:color="auto" w:fill="auto"/>
            <w:noWrap/>
            <w:vAlign w:val="bottom"/>
            <w:hideMark/>
          </w:tcPr>
          <w:p w14:paraId="049E0B24"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0.4879</w:t>
            </w:r>
          </w:p>
        </w:tc>
        <w:tc>
          <w:tcPr>
            <w:tcW w:w="1160" w:type="dxa"/>
            <w:tcBorders>
              <w:top w:val="nil"/>
              <w:left w:val="nil"/>
              <w:bottom w:val="nil"/>
              <w:right w:val="nil"/>
            </w:tcBorders>
            <w:shd w:val="clear" w:color="auto" w:fill="auto"/>
            <w:noWrap/>
            <w:vAlign w:val="bottom"/>
            <w:hideMark/>
          </w:tcPr>
          <w:p w14:paraId="3E1E0D37"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0.5135</w:t>
            </w:r>
          </w:p>
        </w:tc>
      </w:tr>
      <w:tr w:rsidR="00D073A5" w:rsidRPr="001F421A" w14:paraId="4A39B6AB" w14:textId="77777777" w:rsidTr="001F421A">
        <w:trPr>
          <w:trHeight w:val="290"/>
        </w:trPr>
        <w:tc>
          <w:tcPr>
            <w:tcW w:w="2127" w:type="dxa"/>
            <w:tcBorders>
              <w:top w:val="nil"/>
              <w:left w:val="nil"/>
              <w:bottom w:val="nil"/>
              <w:right w:val="nil"/>
            </w:tcBorders>
            <w:shd w:val="clear" w:color="auto" w:fill="auto"/>
            <w:noWrap/>
            <w:vAlign w:val="bottom"/>
            <w:hideMark/>
          </w:tcPr>
          <w:p w14:paraId="39D5CC75"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Young (18-24)</w:t>
            </w:r>
          </w:p>
        </w:tc>
        <w:tc>
          <w:tcPr>
            <w:tcW w:w="2409" w:type="dxa"/>
            <w:tcBorders>
              <w:top w:val="nil"/>
              <w:left w:val="nil"/>
              <w:bottom w:val="nil"/>
              <w:right w:val="nil"/>
            </w:tcBorders>
            <w:shd w:val="clear" w:color="auto" w:fill="auto"/>
            <w:noWrap/>
            <w:vAlign w:val="bottom"/>
            <w:hideMark/>
          </w:tcPr>
          <w:p w14:paraId="5A116564"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Not young</w:t>
            </w:r>
          </w:p>
        </w:tc>
        <w:tc>
          <w:tcPr>
            <w:tcW w:w="1668" w:type="dxa"/>
            <w:tcBorders>
              <w:top w:val="nil"/>
              <w:left w:val="nil"/>
              <w:bottom w:val="nil"/>
              <w:right w:val="nil"/>
            </w:tcBorders>
            <w:shd w:val="clear" w:color="auto" w:fill="auto"/>
            <w:noWrap/>
            <w:vAlign w:val="bottom"/>
            <w:hideMark/>
          </w:tcPr>
          <w:p w14:paraId="686B92B4" w14:textId="77777777" w:rsidR="00D073A5" w:rsidRPr="001F421A" w:rsidRDefault="003F356D"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0.4221</w:t>
            </w:r>
          </w:p>
        </w:tc>
        <w:tc>
          <w:tcPr>
            <w:tcW w:w="1160" w:type="dxa"/>
            <w:tcBorders>
              <w:top w:val="nil"/>
              <w:left w:val="nil"/>
              <w:bottom w:val="nil"/>
              <w:right w:val="nil"/>
            </w:tcBorders>
            <w:shd w:val="clear" w:color="auto" w:fill="auto"/>
            <w:noWrap/>
            <w:vAlign w:val="bottom"/>
            <w:hideMark/>
          </w:tcPr>
          <w:p w14:paraId="01E7FA62"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0.4157</w:t>
            </w:r>
          </w:p>
        </w:tc>
        <w:tc>
          <w:tcPr>
            <w:tcW w:w="1160" w:type="dxa"/>
            <w:tcBorders>
              <w:top w:val="nil"/>
              <w:left w:val="nil"/>
              <w:bottom w:val="nil"/>
              <w:right w:val="nil"/>
            </w:tcBorders>
            <w:shd w:val="clear" w:color="auto" w:fill="auto"/>
            <w:noWrap/>
            <w:vAlign w:val="bottom"/>
            <w:hideMark/>
          </w:tcPr>
          <w:p w14:paraId="3B7D1FCC"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0.4284</w:t>
            </w:r>
          </w:p>
        </w:tc>
      </w:tr>
      <w:tr w:rsidR="00D073A5" w:rsidRPr="001F421A" w14:paraId="29D5312B" w14:textId="77777777" w:rsidTr="001F421A">
        <w:trPr>
          <w:trHeight w:val="290"/>
        </w:trPr>
        <w:tc>
          <w:tcPr>
            <w:tcW w:w="2127" w:type="dxa"/>
            <w:tcBorders>
              <w:top w:val="nil"/>
              <w:left w:val="nil"/>
              <w:bottom w:val="single" w:sz="4" w:space="0" w:color="auto"/>
              <w:right w:val="nil"/>
            </w:tcBorders>
            <w:shd w:val="clear" w:color="auto" w:fill="auto"/>
            <w:noWrap/>
            <w:vAlign w:val="bottom"/>
            <w:hideMark/>
          </w:tcPr>
          <w:p w14:paraId="23219BA2"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 </w:t>
            </w:r>
          </w:p>
        </w:tc>
        <w:tc>
          <w:tcPr>
            <w:tcW w:w="2409" w:type="dxa"/>
            <w:tcBorders>
              <w:top w:val="nil"/>
              <w:left w:val="nil"/>
              <w:bottom w:val="single" w:sz="4" w:space="0" w:color="auto"/>
              <w:right w:val="nil"/>
            </w:tcBorders>
            <w:shd w:val="clear" w:color="auto" w:fill="auto"/>
            <w:noWrap/>
            <w:vAlign w:val="bottom"/>
            <w:hideMark/>
          </w:tcPr>
          <w:p w14:paraId="5B5C63B3"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Young</w:t>
            </w:r>
          </w:p>
        </w:tc>
        <w:tc>
          <w:tcPr>
            <w:tcW w:w="1668" w:type="dxa"/>
            <w:tcBorders>
              <w:top w:val="nil"/>
              <w:left w:val="nil"/>
              <w:bottom w:val="single" w:sz="4" w:space="0" w:color="auto"/>
              <w:right w:val="nil"/>
            </w:tcBorders>
            <w:shd w:val="clear" w:color="auto" w:fill="auto"/>
            <w:noWrap/>
            <w:vAlign w:val="bottom"/>
            <w:hideMark/>
          </w:tcPr>
          <w:p w14:paraId="0269BFAB" w14:textId="77777777" w:rsidR="00D073A5" w:rsidRPr="001F421A" w:rsidRDefault="003F356D"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0.1779</w:t>
            </w:r>
          </w:p>
        </w:tc>
        <w:tc>
          <w:tcPr>
            <w:tcW w:w="1160" w:type="dxa"/>
            <w:tcBorders>
              <w:top w:val="nil"/>
              <w:left w:val="nil"/>
              <w:bottom w:val="single" w:sz="4" w:space="0" w:color="auto"/>
              <w:right w:val="nil"/>
            </w:tcBorders>
            <w:shd w:val="clear" w:color="auto" w:fill="auto"/>
            <w:noWrap/>
            <w:vAlign w:val="bottom"/>
            <w:hideMark/>
          </w:tcPr>
          <w:p w14:paraId="2DEABD58"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0.1624</w:t>
            </w:r>
          </w:p>
        </w:tc>
        <w:tc>
          <w:tcPr>
            <w:tcW w:w="1160" w:type="dxa"/>
            <w:tcBorders>
              <w:top w:val="nil"/>
              <w:left w:val="nil"/>
              <w:bottom w:val="single" w:sz="4" w:space="0" w:color="auto"/>
              <w:right w:val="nil"/>
            </w:tcBorders>
            <w:shd w:val="clear" w:color="auto" w:fill="auto"/>
            <w:noWrap/>
            <w:vAlign w:val="bottom"/>
            <w:hideMark/>
          </w:tcPr>
          <w:p w14:paraId="216E919E"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0.1934</w:t>
            </w:r>
          </w:p>
        </w:tc>
      </w:tr>
      <w:tr w:rsidR="00D073A5" w:rsidRPr="001F421A" w14:paraId="0574EBE0" w14:textId="77777777" w:rsidTr="001F421A">
        <w:trPr>
          <w:trHeight w:val="290"/>
        </w:trPr>
        <w:tc>
          <w:tcPr>
            <w:tcW w:w="2127" w:type="dxa"/>
            <w:tcBorders>
              <w:top w:val="nil"/>
              <w:left w:val="nil"/>
              <w:bottom w:val="nil"/>
              <w:right w:val="nil"/>
            </w:tcBorders>
            <w:shd w:val="clear" w:color="auto" w:fill="auto"/>
            <w:noWrap/>
            <w:vAlign w:val="bottom"/>
            <w:hideMark/>
          </w:tcPr>
          <w:p w14:paraId="72CBFF22"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Income</w:t>
            </w:r>
          </w:p>
        </w:tc>
        <w:tc>
          <w:tcPr>
            <w:tcW w:w="2409" w:type="dxa"/>
            <w:tcBorders>
              <w:top w:val="nil"/>
              <w:left w:val="nil"/>
              <w:bottom w:val="nil"/>
              <w:right w:val="nil"/>
            </w:tcBorders>
            <w:shd w:val="clear" w:color="auto" w:fill="auto"/>
            <w:noWrap/>
            <w:vAlign w:val="bottom"/>
            <w:hideMark/>
          </w:tcPr>
          <w:p w14:paraId="1707A441"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Not above median</w:t>
            </w:r>
          </w:p>
        </w:tc>
        <w:tc>
          <w:tcPr>
            <w:tcW w:w="1668" w:type="dxa"/>
            <w:tcBorders>
              <w:top w:val="nil"/>
              <w:left w:val="nil"/>
              <w:bottom w:val="nil"/>
              <w:right w:val="nil"/>
            </w:tcBorders>
            <w:shd w:val="clear" w:color="auto" w:fill="auto"/>
            <w:noWrap/>
            <w:vAlign w:val="bottom"/>
            <w:hideMark/>
          </w:tcPr>
          <w:p w14:paraId="1B35107B" w14:textId="77777777" w:rsidR="00D073A5" w:rsidRPr="001F421A" w:rsidRDefault="003F356D"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0.4658</w:t>
            </w:r>
          </w:p>
        </w:tc>
        <w:tc>
          <w:tcPr>
            <w:tcW w:w="1160" w:type="dxa"/>
            <w:tcBorders>
              <w:top w:val="nil"/>
              <w:left w:val="nil"/>
              <w:bottom w:val="nil"/>
              <w:right w:val="nil"/>
            </w:tcBorders>
            <w:shd w:val="clear" w:color="auto" w:fill="auto"/>
            <w:noWrap/>
            <w:vAlign w:val="bottom"/>
            <w:hideMark/>
          </w:tcPr>
          <w:p w14:paraId="5DC6015E"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0.4550</w:t>
            </w:r>
          </w:p>
        </w:tc>
        <w:tc>
          <w:tcPr>
            <w:tcW w:w="1160" w:type="dxa"/>
            <w:tcBorders>
              <w:top w:val="nil"/>
              <w:left w:val="nil"/>
              <w:bottom w:val="nil"/>
              <w:right w:val="nil"/>
            </w:tcBorders>
            <w:shd w:val="clear" w:color="auto" w:fill="auto"/>
            <w:noWrap/>
            <w:vAlign w:val="bottom"/>
            <w:hideMark/>
          </w:tcPr>
          <w:p w14:paraId="102F6651"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0.4766</w:t>
            </w:r>
          </w:p>
        </w:tc>
      </w:tr>
      <w:tr w:rsidR="00D073A5" w:rsidRPr="001F421A" w14:paraId="6B644150" w14:textId="77777777" w:rsidTr="001F421A">
        <w:trPr>
          <w:trHeight w:val="290"/>
        </w:trPr>
        <w:tc>
          <w:tcPr>
            <w:tcW w:w="2127" w:type="dxa"/>
            <w:tcBorders>
              <w:top w:val="nil"/>
              <w:left w:val="nil"/>
              <w:bottom w:val="single" w:sz="4" w:space="0" w:color="auto"/>
              <w:right w:val="nil"/>
            </w:tcBorders>
            <w:shd w:val="clear" w:color="auto" w:fill="auto"/>
            <w:noWrap/>
            <w:vAlign w:val="bottom"/>
            <w:hideMark/>
          </w:tcPr>
          <w:p w14:paraId="7189978F" w14:textId="77777777" w:rsidR="00D073A5" w:rsidRPr="001F421A" w:rsidRDefault="00D073A5" w:rsidP="008A0967">
            <w:pPr>
              <w:spacing w:after="0" w:line="240" w:lineRule="auto"/>
              <w:jc w:val="center"/>
              <w:rPr>
                <w:rFonts w:eastAsia="Times New Roman" w:cs="Times New Roman"/>
                <w:color w:val="000000"/>
                <w:sz w:val="24"/>
                <w:lang w:eastAsia="en-GB"/>
              </w:rPr>
            </w:pPr>
          </w:p>
        </w:tc>
        <w:tc>
          <w:tcPr>
            <w:tcW w:w="2409" w:type="dxa"/>
            <w:tcBorders>
              <w:top w:val="nil"/>
              <w:left w:val="nil"/>
              <w:bottom w:val="single" w:sz="4" w:space="0" w:color="auto"/>
              <w:right w:val="nil"/>
            </w:tcBorders>
            <w:shd w:val="clear" w:color="auto" w:fill="auto"/>
            <w:noWrap/>
            <w:vAlign w:val="bottom"/>
            <w:hideMark/>
          </w:tcPr>
          <w:p w14:paraId="46884914"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Above median</w:t>
            </w:r>
          </w:p>
        </w:tc>
        <w:tc>
          <w:tcPr>
            <w:tcW w:w="1668" w:type="dxa"/>
            <w:tcBorders>
              <w:top w:val="nil"/>
              <w:left w:val="nil"/>
              <w:bottom w:val="single" w:sz="4" w:space="0" w:color="auto"/>
              <w:right w:val="nil"/>
            </w:tcBorders>
            <w:shd w:val="clear" w:color="auto" w:fill="auto"/>
            <w:noWrap/>
            <w:vAlign w:val="bottom"/>
            <w:hideMark/>
          </w:tcPr>
          <w:p w14:paraId="75684F1E" w14:textId="77777777" w:rsidR="00D073A5" w:rsidRPr="001F421A" w:rsidRDefault="003F356D"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0.3318</w:t>
            </w:r>
          </w:p>
        </w:tc>
        <w:tc>
          <w:tcPr>
            <w:tcW w:w="1160" w:type="dxa"/>
            <w:tcBorders>
              <w:top w:val="nil"/>
              <w:left w:val="nil"/>
              <w:bottom w:val="single" w:sz="4" w:space="0" w:color="auto"/>
              <w:right w:val="nil"/>
            </w:tcBorders>
            <w:shd w:val="clear" w:color="auto" w:fill="auto"/>
            <w:noWrap/>
            <w:vAlign w:val="bottom"/>
            <w:hideMark/>
          </w:tcPr>
          <w:p w14:paraId="3DB01D59"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0.3231</w:t>
            </w:r>
          </w:p>
        </w:tc>
        <w:tc>
          <w:tcPr>
            <w:tcW w:w="1160" w:type="dxa"/>
            <w:tcBorders>
              <w:top w:val="nil"/>
              <w:left w:val="nil"/>
              <w:bottom w:val="single" w:sz="4" w:space="0" w:color="auto"/>
              <w:right w:val="nil"/>
            </w:tcBorders>
            <w:shd w:val="clear" w:color="auto" w:fill="auto"/>
            <w:noWrap/>
            <w:vAlign w:val="bottom"/>
            <w:hideMark/>
          </w:tcPr>
          <w:p w14:paraId="2862A518"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0.3404</w:t>
            </w:r>
          </w:p>
        </w:tc>
      </w:tr>
      <w:tr w:rsidR="00D073A5" w:rsidRPr="001F421A" w14:paraId="6A352D26" w14:textId="77777777" w:rsidTr="001F421A">
        <w:trPr>
          <w:trHeight w:val="290"/>
        </w:trPr>
        <w:tc>
          <w:tcPr>
            <w:tcW w:w="2127" w:type="dxa"/>
            <w:tcBorders>
              <w:top w:val="single" w:sz="4" w:space="0" w:color="auto"/>
              <w:left w:val="nil"/>
              <w:bottom w:val="nil"/>
              <w:right w:val="nil"/>
            </w:tcBorders>
            <w:shd w:val="clear" w:color="auto" w:fill="auto"/>
            <w:noWrap/>
            <w:vAlign w:val="bottom"/>
            <w:hideMark/>
          </w:tcPr>
          <w:p w14:paraId="002A91BA"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Risk of poverty</w:t>
            </w:r>
          </w:p>
        </w:tc>
        <w:tc>
          <w:tcPr>
            <w:tcW w:w="2409" w:type="dxa"/>
            <w:tcBorders>
              <w:top w:val="single" w:sz="4" w:space="0" w:color="auto"/>
              <w:left w:val="nil"/>
              <w:bottom w:val="nil"/>
              <w:right w:val="nil"/>
            </w:tcBorders>
            <w:shd w:val="clear" w:color="auto" w:fill="auto"/>
            <w:noWrap/>
            <w:vAlign w:val="bottom"/>
            <w:hideMark/>
          </w:tcPr>
          <w:p w14:paraId="7C254331"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Not high</w:t>
            </w:r>
          </w:p>
        </w:tc>
        <w:tc>
          <w:tcPr>
            <w:tcW w:w="1668" w:type="dxa"/>
            <w:tcBorders>
              <w:top w:val="single" w:sz="4" w:space="0" w:color="auto"/>
              <w:left w:val="nil"/>
              <w:bottom w:val="nil"/>
              <w:right w:val="nil"/>
            </w:tcBorders>
            <w:shd w:val="clear" w:color="auto" w:fill="auto"/>
            <w:noWrap/>
            <w:vAlign w:val="bottom"/>
            <w:hideMark/>
          </w:tcPr>
          <w:p w14:paraId="3C8F989A" w14:textId="77777777" w:rsidR="00D073A5" w:rsidRPr="001F421A" w:rsidRDefault="003F356D"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0.3893</w:t>
            </w:r>
          </w:p>
        </w:tc>
        <w:tc>
          <w:tcPr>
            <w:tcW w:w="1160" w:type="dxa"/>
            <w:tcBorders>
              <w:top w:val="single" w:sz="4" w:space="0" w:color="auto"/>
              <w:left w:val="nil"/>
              <w:bottom w:val="nil"/>
              <w:right w:val="nil"/>
            </w:tcBorders>
            <w:shd w:val="clear" w:color="auto" w:fill="auto"/>
            <w:noWrap/>
            <w:vAlign w:val="bottom"/>
            <w:hideMark/>
          </w:tcPr>
          <w:p w14:paraId="6BDE2016"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0.3824</w:t>
            </w:r>
          </w:p>
        </w:tc>
        <w:tc>
          <w:tcPr>
            <w:tcW w:w="1160" w:type="dxa"/>
            <w:tcBorders>
              <w:top w:val="single" w:sz="4" w:space="0" w:color="auto"/>
              <w:left w:val="nil"/>
              <w:bottom w:val="nil"/>
              <w:right w:val="nil"/>
            </w:tcBorders>
            <w:shd w:val="clear" w:color="auto" w:fill="auto"/>
            <w:noWrap/>
            <w:vAlign w:val="bottom"/>
            <w:hideMark/>
          </w:tcPr>
          <w:p w14:paraId="4381EB85"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0.3961</w:t>
            </w:r>
          </w:p>
        </w:tc>
      </w:tr>
      <w:tr w:rsidR="00D073A5" w:rsidRPr="001F421A" w14:paraId="69186782" w14:textId="77777777" w:rsidTr="001F421A">
        <w:trPr>
          <w:trHeight w:val="290"/>
        </w:trPr>
        <w:tc>
          <w:tcPr>
            <w:tcW w:w="2127" w:type="dxa"/>
            <w:tcBorders>
              <w:top w:val="nil"/>
              <w:left w:val="nil"/>
              <w:bottom w:val="single" w:sz="4" w:space="0" w:color="auto"/>
              <w:right w:val="nil"/>
            </w:tcBorders>
            <w:shd w:val="clear" w:color="auto" w:fill="auto"/>
            <w:noWrap/>
            <w:vAlign w:val="bottom"/>
            <w:hideMark/>
          </w:tcPr>
          <w:p w14:paraId="1511F0DC" w14:textId="77777777" w:rsidR="00D073A5" w:rsidRPr="001F421A" w:rsidRDefault="00D073A5" w:rsidP="008A0967">
            <w:pPr>
              <w:spacing w:after="0" w:line="240" w:lineRule="auto"/>
              <w:jc w:val="center"/>
              <w:rPr>
                <w:rFonts w:eastAsia="Times New Roman" w:cs="Times New Roman"/>
                <w:color w:val="000000"/>
                <w:sz w:val="24"/>
                <w:lang w:eastAsia="en-GB"/>
              </w:rPr>
            </w:pPr>
          </w:p>
        </w:tc>
        <w:tc>
          <w:tcPr>
            <w:tcW w:w="2409" w:type="dxa"/>
            <w:tcBorders>
              <w:top w:val="nil"/>
              <w:left w:val="nil"/>
              <w:bottom w:val="single" w:sz="4" w:space="0" w:color="auto"/>
              <w:right w:val="nil"/>
            </w:tcBorders>
            <w:shd w:val="clear" w:color="auto" w:fill="auto"/>
            <w:noWrap/>
            <w:vAlign w:val="bottom"/>
            <w:hideMark/>
          </w:tcPr>
          <w:p w14:paraId="6C51EA88"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 xml:space="preserve">High </w:t>
            </w:r>
          </w:p>
        </w:tc>
        <w:tc>
          <w:tcPr>
            <w:tcW w:w="1668" w:type="dxa"/>
            <w:tcBorders>
              <w:top w:val="nil"/>
              <w:left w:val="nil"/>
              <w:bottom w:val="single" w:sz="4" w:space="0" w:color="auto"/>
              <w:right w:val="nil"/>
            </w:tcBorders>
            <w:shd w:val="clear" w:color="auto" w:fill="auto"/>
            <w:noWrap/>
            <w:vAlign w:val="bottom"/>
            <w:hideMark/>
          </w:tcPr>
          <w:p w14:paraId="1D9F4F9B" w14:textId="77777777" w:rsidR="00D073A5" w:rsidRPr="001F421A" w:rsidRDefault="003F356D"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0.4243</w:t>
            </w:r>
          </w:p>
        </w:tc>
        <w:tc>
          <w:tcPr>
            <w:tcW w:w="1160" w:type="dxa"/>
            <w:tcBorders>
              <w:top w:val="nil"/>
              <w:left w:val="nil"/>
              <w:bottom w:val="single" w:sz="4" w:space="0" w:color="auto"/>
              <w:right w:val="nil"/>
            </w:tcBorders>
            <w:shd w:val="clear" w:color="auto" w:fill="auto"/>
            <w:noWrap/>
            <w:vAlign w:val="bottom"/>
            <w:hideMark/>
          </w:tcPr>
          <w:p w14:paraId="03BDABE1"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0.4121</w:t>
            </w:r>
          </w:p>
        </w:tc>
        <w:tc>
          <w:tcPr>
            <w:tcW w:w="1160" w:type="dxa"/>
            <w:tcBorders>
              <w:top w:val="nil"/>
              <w:left w:val="nil"/>
              <w:bottom w:val="single" w:sz="4" w:space="0" w:color="auto"/>
              <w:right w:val="nil"/>
            </w:tcBorders>
            <w:shd w:val="clear" w:color="auto" w:fill="auto"/>
            <w:noWrap/>
            <w:vAlign w:val="bottom"/>
            <w:hideMark/>
          </w:tcPr>
          <w:p w14:paraId="1E777D8E"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0.4364</w:t>
            </w:r>
          </w:p>
        </w:tc>
      </w:tr>
      <w:tr w:rsidR="00D073A5" w:rsidRPr="001F421A" w14:paraId="1A8C54EA" w14:textId="77777777" w:rsidTr="001F421A">
        <w:trPr>
          <w:trHeight w:val="290"/>
        </w:trPr>
        <w:tc>
          <w:tcPr>
            <w:tcW w:w="2127" w:type="dxa"/>
            <w:tcBorders>
              <w:top w:val="single" w:sz="4" w:space="0" w:color="auto"/>
              <w:left w:val="nil"/>
              <w:bottom w:val="nil"/>
              <w:right w:val="nil"/>
            </w:tcBorders>
            <w:shd w:val="clear" w:color="auto" w:fill="auto"/>
            <w:noWrap/>
            <w:vAlign w:val="bottom"/>
            <w:hideMark/>
          </w:tcPr>
          <w:p w14:paraId="6847C589"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Risk of unemployment</w:t>
            </w:r>
          </w:p>
        </w:tc>
        <w:tc>
          <w:tcPr>
            <w:tcW w:w="2409" w:type="dxa"/>
            <w:tcBorders>
              <w:top w:val="single" w:sz="4" w:space="0" w:color="auto"/>
              <w:left w:val="nil"/>
              <w:bottom w:val="nil"/>
              <w:right w:val="nil"/>
            </w:tcBorders>
            <w:shd w:val="clear" w:color="auto" w:fill="auto"/>
            <w:noWrap/>
            <w:vAlign w:val="bottom"/>
            <w:hideMark/>
          </w:tcPr>
          <w:p w14:paraId="2471F469"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Not high</w:t>
            </w:r>
          </w:p>
        </w:tc>
        <w:tc>
          <w:tcPr>
            <w:tcW w:w="1668" w:type="dxa"/>
            <w:tcBorders>
              <w:top w:val="single" w:sz="4" w:space="0" w:color="auto"/>
              <w:left w:val="nil"/>
              <w:bottom w:val="nil"/>
              <w:right w:val="nil"/>
            </w:tcBorders>
            <w:shd w:val="clear" w:color="auto" w:fill="auto"/>
            <w:noWrap/>
            <w:vAlign w:val="bottom"/>
            <w:hideMark/>
          </w:tcPr>
          <w:p w14:paraId="42BA193D" w14:textId="77777777" w:rsidR="00D073A5" w:rsidRPr="001F421A" w:rsidRDefault="003F356D"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0.4051</w:t>
            </w:r>
          </w:p>
        </w:tc>
        <w:tc>
          <w:tcPr>
            <w:tcW w:w="1160" w:type="dxa"/>
            <w:tcBorders>
              <w:top w:val="single" w:sz="4" w:space="0" w:color="auto"/>
              <w:left w:val="nil"/>
              <w:bottom w:val="nil"/>
              <w:right w:val="nil"/>
            </w:tcBorders>
            <w:shd w:val="clear" w:color="auto" w:fill="auto"/>
            <w:noWrap/>
            <w:vAlign w:val="bottom"/>
            <w:hideMark/>
          </w:tcPr>
          <w:p w14:paraId="786722BB"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0.3986</w:t>
            </w:r>
          </w:p>
        </w:tc>
        <w:tc>
          <w:tcPr>
            <w:tcW w:w="1160" w:type="dxa"/>
            <w:tcBorders>
              <w:top w:val="single" w:sz="4" w:space="0" w:color="auto"/>
              <w:left w:val="nil"/>
              <w:bottom w:val="nil"/>
              <w:right w:val="nil"/>
            </w:tcBorders>
            <w:shd w:val="clear" w:color="auto" w:fill="auto"/>
            <w:noWrap/>
            <w:vAlign w:val="bottom"/>
            <w:hideMark/>
          </w:tcPr>
          <w:p w14:paraId="27AC5D84"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0.4116</w:t>
            </w:r>
          </w:p>
        </w:tc>
      </w:tr>
      <w:tr w:rsidR="00D073A5" w:rsidRPr="001F421A" w14:paraId="361A38F8" w14:textId="77777777" w:rsidTr="001F421A">
        <w:trPr>
          <w:trHeight w:val="290"/>
        </w:trPr>
        <w:tc>
          <w:tcPr>
            <w:tcW w:w="2127" w:type="dxa"/>
            <w:tcBorders>
              <w:top w:val="nil"/>
              <w:left w:val="nil"/>
              <w:bottom w:val="single" w:sz="4" w:space="0" w:color="auto"/>
              <w:right w:val="nil"/>
            </w:tcBorders>
            <w:shd w:val="clear" w:color="auto" w:fill="auto"/>
            <w:noWrap/>
            <w:vAlign w:val="bottom"/>
            <w:hideMark/>
          </w:tcPr>
          <w:p w14:paraId="14A2652F"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 </w:t>
            </w:r>
          </w:p>
        </w:tc>
        <w:tc>
          <w:tcPr>
            <w:tcW w:w="2409" w:type="dxa"/>
            <w:tcBorders>
              <w:top w:val="nil"/>
              <w:left w:val="nil"/>
              <w:bottom w:val="single" w:sz="4" w:space="0" w:color="auto"/>
              <w:right w:val="nil"/>
            </w:tcBorders>
            <w:shd w:val="clear" w:color="auto" w:fill="auto"/>
            <w:noWrap/>
            <w:vAlign w:val="bottom"/>
            <w:hideMark/>
          </w:tcPr>
          <w:p w14:paraId="35107D30"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 xml:space="preserve">High </w:t>
            </w:r>
          </w:p>
        </w:tc>
        <w:tc>
          <w:tcPr>
            <w:tcW w:w="1668" w:type="dxa"/>
            <w:tcBorders>
              <w:top w:val="nil"/>
              <w:left w:val="nil"/>
              <w:bottom w:val="single" w:sz="4" w:space="0" w:color="auto"/>
              <w:right w:val="nil"/>
            </w:tcBorders>
            <w:shd w:val="clear" w:color="auto" w:fill="auto"/>
            <w:noWrap/>
            <w:vAlign w:val="bottom"/>
            <w:hideMark/>
          </w:tcPr>
          <w:p w14:paraId="549F6E5B" w14:textId="77777777" w:rsidR="00D073A5" w:rsidRPr="001F421A" w:rsidRDefault="003F356D"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0.3582</w:t>
            </w:r>
          </w:p>
        </w:tc>
        <w:tc>
          <w:tcPr>
            <w:tcW w:w="1160" w:type="dxa"/>
            <w:tcBorders>
              <w:top w:val="nil"/>
              <w:left w:val="nil"/>
              <w:bottom w:val="single" w:sz="4" w:space="0" w:color="auto"/>
              <w:right w:val="nil"/>
            </w:tcBorders>
            <w:shd w:val="clear" w:color="auto" w:fill="auto"/>
            <w:noWrap/>
            <w:vAlign w:val="bottom"/>
            <w:hideMark/>
          </w:tcPr>
          <w:p w14:paraId="035983B0"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0.3432</w:t>
            </w:r>
          </w:p>
        </w:tc>
        <w:tc>
          <w:tcPr>
            <w:tcW w:w="1160" w:type="dxa"/>
            <w:tcBorders>
              <w:top w:val="nil"/>
              <w:left w:val="nil"/>
              <w:bottom w:val="single" w:sz="4" w:space="0" w:color="auto"/>
              <w:right w:val="nil"/>
            </w:tcBorders>
            <w:shd w:val="clear" w:color="auto" w:fill="auto"/>
            <w:noWrap/>
            <w:vAlign w:val="bottom"/>
            <w:hideMark/>
          </w:tcPr>
          <w:p w14:paraId="1C1D9643"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0.3730</w:t>
            </w:r>
          </w:p>
        </w:tc>
      </w:tr>
      <w:tr w:rsidR="00D073A5" w:rsidRPr="001F421A" w14:paraId="1F8009A9" w14:textId="77777777" w:rsidTr="001F421A">
        <w:trPr>
          <w:trHeight w:val="290"/>
        </w:trPr>
        <w:tc>
          <w:tcPr>
            <w:tcW w:w="2127" w:type="dxa"/>
            <w:tcBorders>
              <w:top w:val="nil"/>
              <w:left w:val="nil"/>
              <w:bottom w:val="nil"/>
              <w:right w:val="nil"/>
            </w:tcBorders>
            <w:shd w:val="clear" w:color="auto" w:fill="auto"/>
            <w:noWrap/>
            <w:vAlign w:val="bottom"/>
            <w:hideMark/>
          </w:tcPr>
          <w:p w14:paraId="27085784"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Education</w:t>
            </w:r>
          </w:p>
        </w:tc>
        <w:tc>
          <w:tcPr>
            <w:tcW w:w="2409" w:type="dxa"/>
            <w:tcBorders>
              <w:top w:val="nil"/>
              <w:left w:val="nil"/>
              <w:bottom w:val="nil"/>
              <w:right w:val="nil"/>
            </w:tcBorders>
            <w:shd w:val="clear" w:color="auto" w:fill="auto"/>
            <w:noWrap/>
            <w:vAlign w:val="bottom"/>
            <w:hideMark/>
          </w:tcPr>
          <w:p w14:paraId="06121921"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Formal education</w:t>
            </w:r>
          </w:p>
        </w:tc>
        <w:tc>
          <w:tcPr>
            <w:tcW w:w="1668" w:type="dxa"/>
            <w:tcBorders>
              <w:top w:val="nil"/>
              <w:left w:val="nil"/>
              <w:bottom w:val="nil"/>
              <w:right w:val="nil"/>
            </w:tcBorders>
            <w:shd w:val="clear" w:color="auto" w:fill="auto"/>
            <w:noWrap/>
            <w:vAlign w:val="bottom"/>
            <w:hideMark/>
          </w:tcPr>
          <w:p w14:paraId="7F5AC6F9" w14:textId="77777777" w:rsidR="00D073A5" w:rsidRPr="001F421A" w:rsidRDefault="00D073A5"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0.3793</w:t>
            </w:r>
          </w:p>
        </w:tc>
        <w:tc>
          <w:tcPr>
            <w:tcW w:w="1160" w:type="dxa"/>
            <w:tcBorders>
              <w:top w:val="nil"/>
              <w:left w:val="nil"/>
              <w:bottom w:val="nil"/>
              <w:right w:val="nil"/>
            </w:tcBorders>
            <w:shd w:val="clear" w:color="auto" w:fill="auto"/>
            <w:noWrap/>
            <w:vAlign w:val="bottom"/>
            <w:hideMark/>
          </w:tcPr>
          <w:p w14:paraId="5890434E"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0.3732</w:t>
            </w:r>
          </w:p>
        </w:tc>
        <w:tc>
          <w:tcPr>
            <w:tcW w:w="1160" w:type="dxa"/>
            <w:tcBorders>
              <w:top w:val="nil"/>
              <w:left w:val="nil"/>
              <w:bottom w:val="nil"/>
              <w:right w:val="nil"/>
            </w:tcBorders>
            <w:shd w:val="clear" w:color="auto" w:fill="auto"/>
            <w:noWrap/>
            <w:vAlign w:val="bottom"/>
            <w:hideMark/>
          </w:tcPr>
          <w:p w14:paraId="3172E320"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0.3855</w:t>
            </w:r>
          </w:p>
        </w:tc>
      </w:tr>
      <w:tr w:rsidR="00D073A5" w:rsidRPr="001F421A" w14:paraId="46F11919" w14:textId="77777777" w:rsidTr="001F421A">
        <w:trPr>
          <w:trHeight w:val="290"/>
        </w:trPr>
        <w:tc>
          <w:tcPr>
            <w:tcW w:w="2127" w:type="dxa"/>
            <w:tcBorders>
              <w:top w:val="nil"/>
              <w:left w:val="nil"/>
              <w:bottom w:val="single" w:sz="4" w:space="0" w:color="auto"/>
              <w:right w:val="nil"/>
            </w:tcBorders>
            <w:shd w:val="clear" w:color="auto" w:fill="auto"/>
            <w:noWrap/>
            <w:vAlign w:val="bottom"/>
            <w:hideMark/>
          </w:tcPr>
          <w:p w14:paraId="0DFF535E" w14:textId="77777777" w:rsidR="00D073A5" w:rsidRPr="001F421A" w:rsidRDefault="00D073A5" w:rsidP="008A0967">
            <w:pPr>
              <w:spacing w:after="0" w:line="240" w:lineRule="auto"/>
              <w:jc w:val="center"/>
              <w:rPr>
                <w:rFonts w:eastAsia="Times New Roman" w:cs="Times New Roman"/>
                <w:color w:val="000000"/>
                <w:sz w:val="24"/>
                <w:lang w:eastAsia="en-GB"/>
              </w:rPr>
            </w:pPr>
          </w:p>
        </w:tc>
        <w:tc>
          <w:tcPr>
            <w:tcW w:w="2409" w:type="dxa"/>
            <w:tcBorders>
              <w:top w:val="nil"/>
              <w:left w:val="nil"/>
              <w:bottom w:val="single" w:sz="4" w:space="0" w:color="auto"/>
              <w:right w:val="nil"/>
            </w:tcBorders>
            <w:shd w:val="clear" w:color="auto" w:fill="auto"/>
            <w:noWrap/>
            <w:vAlign w:val="bottom"/>
            <w:hideMark/>
          </w:tcPr>
          <w:p w14:paraId="172DEEC1"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No formal education</w:t>
            </w:r>
          </w:p>
        </w:tc>
        <w:tc>
          <w:tcPr>
            <w:tcW w:w="1668" w:type="dxa"/>
            <w:tcBorders>
              <w:top w:val="nil"/>
              <w:left w:val="nil"/>
              <w:bottom w:val="single" w:sz="4" w:space="0" w:color="auto"/>
              <w:right w:val="nil"/>
            </w:tcBorders>
            <w:shd w:val="clear" w:color="auto" w:fill="auto"/>
            <w:noWrap/>
            <w:vAlign w:val="bottom"/>
            <w:hideMark/>
          </w:tcPr>
          <w:p w14:paraId="582D1F07" w14:textId="77777777" w:rsidR="00D073A5" w:rsidRPr="001F421A" w:rsidRDefault="00D073A5"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0.6475</w:t>
            </w:r>
          </w:p>
        </w:tc>
        <w:tc>
          <w:tcPr>
            <w:tcW w:w="1160" w:type="dxa"/>
            <w:tcBorders>
              <w:top w:val="nil"/>
              <w:left w:val="nil"/>
              <w:bottom w:val="single" w:sz="4" w:space="0" w:color="auto"/>
              <w:right w:val="nil"/>
            </w:tcBorders>
            <w:shd w:val="clear" w:color="auto" w:fill="auto"/>
            <w:noWrap/>
            <w:vAlign w:val="bottom"/>
            <w:hideMark/>
          </w:tcPr>
          <w:p w14:paraId="560C433B"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0.6254</w:t>
            </w:r>
          </w:p>
        </w:tc>
        <w:tc>
          <w:tcPr>
            <w:tcW w:w="1160" w:type="dxa"/>
            <w:tcBorders>
              <w:top w:val="nil"/>
              <w:left w:val="nil"/>
              <w:bottom w:val="single" w:sz="4" w:space="0" w:color="auto"/>
              <w:right w:val="nil"/>
            </w:tcBorders>
            <w:shd w:val="clear" w:color="auto" w:fill="auto"/>
            <w:noWrap/>
            <w:vAlign w:val="bottom"/>
            <w:hideMark/>
          </w:tcPr>
          <w:p w14:paraId="2F7C19A8"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0.6697</w:t>
            </w:r>
          </w:p>
        </w:tc>
      </w:tr>
      <w:tr w:rsidR="00D073A5" w:rsidRPr="001F421A" w14:paraId="64DF2B62" w14:textId="77777777" w:rsidTr="001F421A">
        <w:trPr>
          <w:trHeight w:val="290"/>
        </w:trPr>
        <w:tc>
          <w:tcPr>
            <w:tcW w:w="2127" w:type="dxa"/>
            <w:tcBorders>
              <w:top w:val="single" w:sz="4" w:space="0" w:color="auto"/>
              <w:left w:val="nil"/>
              <w:bottom w:val="nil"/>
              <w:right w:val="nil"/>
            </w:tcBorders>
            <w:shd w:val="clear" w:color="auto" w:fill="auto"/>
            <w:noWrap/>
            <w:vAlign w:val="bottom"/>
            <w:hideMark/>
          </w:tcPr>
          <w:p w14:paraId="2A5CB078"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Higher education discipline</w:t>
            </w:r>
          </w:p>
        </w:tc>
        <w:tc>
          <w:tcPr>
            <w:tcW w:w="2409" w:type="dxa"/>
            <w:tcBorders>
              <w:top w:val="single" w:sz="4" w:space="0" w:color="auto"/>
              <w:left w:val="nil"/>
              <w:bottom w:val="nil"/>
              <w:right w:val="nil"/>
            </w:tcBorders>
            <w:shd w:val="clear" w:color="auto" w:fill="auto"/>
            <w:noWrap/>
            <w:vAlign w:val="bottom"/>
            <w:hideMark/>
          </w:tcPr>
          <w:p w14:paraId="40EAC402"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Not protected</w:t>
            </w:r>
          </w:p>
        </w:tc>
        <w:tc>
          <w:tcPr>
            <w:tcW w:w="1668" w:type="dxa"/>
            <w:tcBorders>
              <w:top w:val="single" w:sz="4" w:space="0" w:color="auto"/>
              <w:left w:val="nil"/>
              <w:bottom w:val="nil"/>
              <w:right w:val="nil"/>
            </w:tcBorders>
            <w:shd w:val="clear" w:color="auto" w:fill="auto"/>
            <w:noWrap/>
            <w:vAlign w:val="bottom"/>
            <w:hideMark/>
          </w:tcPr>
          <w:p w14:paraId="096E6775" w14:textId="77777777" w:rsidR="00D073A5" w:rsidRPr="001F421A" w:rsidRDefault="00D073A5"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0.4003</w:t>
            </w:r>
          </w:p>
        </w:tc>
        <w:tc>
          <w:tcPr>
            <w:tcW w:w="1160" w:type="dxa"/>
            <w:tcBorders>
              <w:top w:val="single" w:sz="4" w:space="0" w:color="auto"/>
              <w:left w:val="nil"/>
              <w:bottom w:val="nil"/>
              <w:right w:val="nil"/>
            </w:tcBorders>
            <w:shd w:val="clear" w:color="auto" w:fill="auto"/>
            <w:noWrap/>
            <w:vAlign w:val="bottom"/>
            <w:hideMark/>
          </w:tcPr>
          <w:p w14:paraId="6B83A81A"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0.3943</w:t>
            </w:r>
          </w:p>
        </w:tc>
        <w:tc>
          <w:tcPr>
            <w:tcW w:w="1160" w:type="dxa"/>
            <w:tcBorders>
              <w:top w:val="single" w:sz="4" w:space="0" w:color="auto"/>
              <w:left w:val="nil"/>
              <w:bottom w:val="nil"/>
              <w:right w:val="nil"/>
            </w:tcBorders>
            <w:shd w:val="clear" w:color="auto" w:fill="auto"/>
            <w:noWrap/>
            <w:vAlign w:val="bottom"/>
            <w:hideMark/>
          </w:tcPr>
          <w:p w14:paraId="34D4DAEB"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0.4063</w:t>
            </w:r>
          </w:p>
        </w:tc>
      </w:tr>
      <w:tr w:rsidR="00D073A5" w:rsidRPr="001F421A" w14:paraId="7B83C766" w14:textId="77777777" w:rsidTr="001F421A">
        <w:trPr>
          <w:trHeight w:val="290"/>
        </w:trPr>
        <w:tc>
          <w:tcPr>
            <w:tcW w:w="2127" w:type="dxa"/>
            <w:tcBorders>
              <w:top w:val="nil"/>
              <w:left w:val="nil"/>
              <w:bottom w:val="single" w:sz="4" w:space="0" w:color="auto"/>
              <w:right w:val="nil"/>
            </w:tcBorders>
            <w:shd w:val="clear" w:color="auto" w:fill="auto"/>
            <w:noWrap/>
            <w:vAlign w:val="bottom"/>
            <w:hideMark/>
          </w:tcPr>
          <w:p w14:paraId="6090296A"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 </w:t>
            </w:r>
          </w:p>
        </w:tc>
        <w:tc>
          <w:tcPr>
            <w:tcW w:w="2409" w:type="dxa"/>
            <w:tcBorders>
              <w:top w:val="nil"/>
              <w:left w:val="nil"/>
              <w:bottom w:val="single" w:sz="4" w:space="0" w:color="auto"/>
              <w:right w:val="nil"/>
            </w:tcBorders>
            <w:shd w:val="clear" w:color="auto" w:fill="auto"/>
            <w:noWrap/>
            <w:vAlign w:val="bottom"/>
            <w:hideMark/>
          </w:tcPr>
          <w:p w14:paraId="1591A70B"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‘Protected’ discipline</w:t>
            </w:r>
          </w:p>
        </w:tc>
        <w:tc>
          <w:tcPr>
            <w:tcW w:w="1668" w:type="dxa"/>
            <w:tcBorders>
              <w:top w:val="nil"/>
              <w:left w:val="nil"/>
              <w:bottom w:val="single" w:sz="4" w:space="0" w:color="auto"/>
              <w:right w:val="nil"/>
            </w:tcBorders>
            <w:shd w:val="clear" w:color="auto" w:fill="auto"/>
            <w:noWrap/>
            <w:vAlign w:val="bottom"/>
            <w:hideMark/>
          </w:tcPr>
          <w:p w14:paraId="0FC21B2E" w14:textId="77777777" w:rsidR="00D073A5" w:rsidRPr="001F421A" w:rsidRDefault="003F356D"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0.2872</w:t>
            </w:r>
          </w:p>
        </w:tc>
        <w:tc>
          <w:tcPr>
            <w:tcW w:w="1160" w:type="dxa"/>
            <w:tcBorders>
              <w:top w:val="nil"/>
              <w:left w:val="nil"/>
              <w:bottom w:val="single" w:sz="4" w:space="0" w:color="auto"/>
              <w:right w:val="nil"/>
            </w:tcBorders>
            <w:shd w:val="clear" w:color="auto" w:fill="auto"/>
            <w:noWrap/>
            <w:vAlign w:val="bottom"/>
            <w:hideMark/>
          </w:tcPr>
          <w:p w14:paraId="24996072"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0.2496</w:t>
            </w:r>
          </w:p>
        </w:tc>
        <w:tc>
          <w:tcPr>
            <w:tcW w:w="1160" w:type="dxa"/>
            <w:tcBorders>
              <w:top w:val="nil"/>
              <w:left w:val="nil"/>
              <w:bottom w:val="single" w:sz="4" w:space="0" w:color="auto"/>
              <w:right w:val="nil"/>
            </w:tcBorders>
            <w:shd w:val="clear" w:color="auto" w:fill="auto"/>
            <w:noWrap/>
            <w:vAlign w:val="bottom"/>
            <w:hideMark/>
          </w:tcPr>
          <w:p w14:paraId="2B15B9C0"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0.3248</w:t>
            </w:r>
          </w:p>
        </w:tc>
      </w:tr>
      <w:tr w:rsidR="00D073A5" w:rsidRPr="001F421A" w14:paraId="0DDE0E8C" w14:textId="77777777" w:rsidTr="001F421A">
        <w:trPr>
          <w:trHeight w:val="290"/>
        </w:trPr>
        <w:tc>
          <w:tcPr>
            <w:tcW w:w="2127" w:type="dxa"/>
            <w:tcBorders>
              <w:top w:val="nil"/>
              <w:left w:val="nil"/>
              <w:bottom w:val="nil"/>
              <w:right w:val="nil"/>
            </w:tcBorders>
            <w:shd w:val="clear" w:color="auto" w:fill="auto"/>
            <w:noWrap/>
            <w:vAlign w:val="bottom"/>
            <w:hideMark/>
          </w:tcPr>
          <w:p w14:paraId="09858D4B"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Housing</w:t>
            </w:r>
          </w:p>
        </w:tc>
        <w:tc>
          <w:tcPr>
            <w:tcW w:w="2409" w:type="dxa"/>
            <w:tcBorders>
              <w:top w:val="nil"/>
              <w:left w:val="nil"/>
              <w:bottom w:val="nil"/>
              <w:right w:val="nil"/>
            </w:tcBorders>
            <w:shd w:val="clear" w:color="auto" w:fill="auto"/>
            <w:noWrap/>
            <w:vAlign w:val="bottom"/>
            <w:hideMark/>
          </w:tcPr>
          <w:p w14:paraId="638A25D3"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Not rent</w:t>
            </w:r>
          </w:p>
        </w:tc>
        <w:tc>
          <w:tcPr>
            <w:tcW w:w="1668" w:type="dxa"/>
            <w:tcBorders>
              <w:top w:val="nil"/>
              <w:left w:val="nil"/>
              <w:bottom w:val="nil"/>
              <w:right w:val="nil"/>
            </w:tcBorders>
            <w:shd w:val="clear" w:color="auto" w:fill="auto"/>
            <w:noWrap/>
            <w:vAlign w:val="bottom"/>
            <w:hideMark/>
          </w:tcPr>
          <w:p w14:paraId="45D9F69B" w14:textId="77777777" w:rsidR="00D073A5" w:rsidRPr="001F421A" w:rsidRDefault="003F356D"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0.4086</w:t>
            </w:r>
          </w:p>
        </w:tc>
        <w:tc>
          <w:tcPr>
            <w:tcW w:w="1160" w:type="dxa"/>
            <w:tcBorders>
              <w:top w:val="nil"/>
              <w:left w:val="nil"/>
              <w:bottom w:val="nil"/>
              <w:right w:val="nil"/>
            </w:tcBorders>
            <w:shd w:val="clear" w:color="auto" w:fill="auto"/>
            <w:noWrap/>
            <w:vAlign w:val="bottom"/>
            <w:hideMark/>
          </w:tcPr>
          <w:p w14:paraId="55D661D0"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0.4019</w:t>
            </w:r>
          </w:p>
        </w:tc>
        <w:tc>
          <w:tcPr>
            <w:tcW w:w="1160" w:type="dxa"/>
            <w:tcBorders>
              <w:top w:val="nil"/>
              <w:left w:val="nil"/>
              <w:bottom w:val="nil"/>
              <w:right w:val="nil"/>
            </w:tcBorders>
            <w:shd w:val="clear" w:color="auto" w:fill="auto"/>
            <w:noWrap/>
            <w:vAlign w:val="bottom"/>
            <w:hideMark/>
          </w:tcPr>
          <w:p w14:paraId="1C7349AC"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0.4152</w:t>
            </w:r>
          </w:p>
        </w:tc>
      </w:tr>
      <w:tr w:rsidR="00D073A5" w:rsidRPr="001F421A" w14:paraId="6452EE65" w14:textId="77777777" w:rsidTr="001F421A">
        <w:trPr>
          <w:trHeight w:val="290"/>
        </w:trPr>
        <w:tc>
          <w:tcPr>
            <w:tcW w:w="2127" w:type="dxa"/>
            <w:tcBorders>
              <w:top w:val="nil"/>
              <w:left w:val="nil"/>
              <w:bottom w:val="single" w:sz="4" w:space="0" w:color="auto"/>
              <w:right w:val="nil"/>
            </w:tcBorders>
            <w:shd w:val="clear" w:color="auto" w:fill="auto"/>
            <w:noWrap/>
            <w:vAlign w:val="bottom"/>
            <w:hideMark/>
          </w:tcPr>
          <w:p w14:paraId="1AE0DA24" w14:textId="77777777" w:rsidR="00D073A5" w:rsidRPr="001F421A" w:rsidRDefault="00D073A5" w:rsidP="008A0967">
            <w:pPr>
              <w:spacing w:after="0" w:line="240" w:lineRule="auto"/>
              <w:jc w:val="center"/>
              <w:rPr>
                <w:rFonts w:eastAsia="Times New Roman" w:cs="Times New Roman"/>
                <w:color w:val="000000"/>
                <w:sz w:val="24"/>
                <w:lang w:eastAsia="en-GB"/>
              </w:rPr>
            </w:pPr>
          </w:p>
        </w:tc>
        <w:tc>
          <w:tcPr>
            <w:tcW w:w="2409" w:type="dxa"/>
            <w:tcBorders>
              <w:top w:val="nil"/>
              <w:left w:val="nil"/>
              <w:bottom w:val="single" w:sz="4" w:space="0" w:color="auto"/>
              <w:right w:val="nil"/>
            </w:tcBorders>
            <w:shd w:val="clear" w:color="auto" w:fill="auto"/>
            <w:noWrap/>
            <w:vAlign w:val="bottom"/>
            <w:hideMark/>
          </w:tcPr>
          <w:p w14:paraId="3F1D6348"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Rent</w:t>
            </w:r>
          </w:p>
        </w:tc>
        <w:tc>
          <w:tcPr>
            <w:tcW w:w="1668" w:type="dxa"/>
            <w:tcBorders>
              <w:top w:val="nil"/>
              <w:left w:val="nil"/>
              <w:bottom w:val="single" w:sz="4" w:space="0" w:color="auto"/>
              <w:right w:val="nil"/>
            </w:tcBorders>
            <w:shd w:val="clear" w:color="auto" w:fill="auto"/>
            <w:noWrap/>
            <w:vAlign w:val="bottom"/>
            <w:hideMark/>
          </w:tcPr>
          <w:p w14:paraId="65769094" w14:textId="77777777" w:rsidR="00D073A5" w:rsidRPr="001F421A" w:rsidRDefault="003F356D"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0.3505</w:t>
            </w:r>
          </w:p>
        </w:tc>
        <w:tc>
          <w:tcPr>
            <w:tcW w:w="1160" w:type="dxa"/>
            <w:tcBorders>
              <w:top w:val="nil"/>
              <w:left w:val="nil"/>
              <w:bottom w:val="single" w:sz="4" w:space="0" w:color="auto"/>
              <w:right w:val="nil"/>
            </w:tcBorders>
            <w:shd w:val="clear" w:color="auto" w:fill="auto"/>
            <w:noWrap/>
            <w:vAlign w:val="bottom"/>
            <w:hideMark/>
          </w:tcPr>
          <w:p w14:paraId="10956C4A"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0.3370</w:t>
            </w:r>
          </w:p>
        </w:tc>
        <w:tc>
          <w:tcPr>
            <w:tcW w:w="1160" w:type="dxa"/>
            <w:tcBorders>
              <w:top w:val="nil"/>
              <w:left w:val="nil"/>
              <w:bottom w:val="single" w:sz="4" w:space="0" w:color="auto"/>
              <w:right w:val="nil"/>
            </w:tcBorders>
            <w:shd w:val="clear" w:color="auto" w:fill="auto"/>
            <w:noWrap/>
            <w:vAlign w:val="bottom"/>
            <w:hideMark/>
          </w:tcPr>
          <w:p w14:paraId="4F680349"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0.3641</w:t>
            </w:r>
          </w:p>
        </w:tc>
      </w:tr>
      <w:tr w:rsidR="00D073A5" w:rsidRPr="001F421A" w14:paraId="5BEC651B" w14:textId="77777777" w:rsidTr="001F421A">
        <w:trPr>
          <w:trHeight w:val="290"/>
        </w:trPr>
        <w:tc>
          <w:tcPr>
            <w:tcW w:w="2127" w:type="dxa"/>
            <w:tcBorders>
              <w:top w:val="single" w:sz="4" w:space="0" w:color="auto"/>
              <w:left w:val="nil"/>
              <w:bottom w:val="nil"/>
              <w:right w:val="nil"/>
            </w:tcBorders>
            <w:shd w:val="clear" w:color="auto" w:fill="auto"/>
            <w:noWrap/>
            <w:vAlign w:val="bottom"/>
            <w:hideMark/>
          </w:tcPr>
          <w:p w14:paraId="5C908197"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Earnings from employment</w:t>
            </w:r>
          </w:p>
        </w:tc>
        <w:tc>
          <w:tcPr>
            <w:tcW w:w="2409" w:type="dxa"/>
            <w:tcBorders>
              <w:top w:val="single" w:sz="4" w:space="0" w:color="auto"/>
              <w:left w:val="nil"/>
              <w:bottom w:val="nil"/>
              <w:right w:val="nil"/>
            </w:tcBorders>
            <w:shd w:val="clear" w:color="auto" w:fill="auto"/>
            <w:noWrap/>
            <w:vAlign w:val="bottom"/>
            <w:hideMark/>
          </w:tcPr>
          <w:p w14:paraId="2EC86316"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No</w:t>
            </w:r>
          </w:p>
        </w:tc>
        <w:tc>
          <w:tcPr>
            <w:tcW w:w="1668" w:type="dxa"/>
            <w:tcBorders>
              <w:top w:val="single" w:sz="4" w:space="0" w:color="auto"/>
              <w:left w:val="nil"/>
              <w:bottom w:val="nil"/>
              <w:right w:val="nil"/>
            </w:tcBorders>
            <w:shd w:val="clear" w:color="auto" w:fill="auto"/>
            <w:noWrap/>
            <w:vAlign w:val="bottom"/>
            <w:hideMark/>
          </w:tcPr>
          <w:p w14:paraId="588E05AD" w14:textId="77777777" w:rsidR="00D073A5" w:rsidRPr="001F421A" w:rsidRDefault="003F356D"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0.4055</w:t>
            </w:r>
          </w:p>
        </w:tc>
        <w:tc>
          <w:tcPr>
            <w:tcW w:w="1160" w:type="dxa"/>
            <w:tcBorders>
              <w:top w:val="single" w:sz="4" w:space="0" w:color="auto"/>
              <w:left w:val="nil"/>
              <w:bottom w:val="nil"/>
              <w:right w:val="nil"/>
            </w:tcBorders>
            <w:shd w:val="clear" w:color="auto" w:fill="auto"/>
            <w:noWrap/>
            <w:vAlign w:val="bottom"/>
            <w:hideMark/>
          </w:tcPr>
          <w:p w14:paraId="5B7CB103"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0.3991</w:t>
            </w:r>
          </w:p>
        </w:tc>
        <w:tc>
          <w:tcPr>
            <w:tcW w:w="1160" w:type="dxa"/>
            <w:tcBorders>
              <w:top w:val="single" w:sz="4" w:space="0" w:color="auto"/>
              <w:left w:val="nil"/>
              <w:bottom w:val="nil"/>
              <w:right w:val="nil"/>
            </w:tcBorders>
            <w:shd w:val="clear" w:color="auto" w:fill="auto"/>
            <w:noWrap/>
            <w:vAlign w:val="bottom"/>
            <w:hideMark/>
          </w:tcPr>
          <w:p w14:paraId="599FA0E5"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0.4118</w:t>
            </w:r>
          </w:p>
        </w:tc>
      </w:tr>
      <w:tr w:rsidR="00D073A5" w:rsidRPr="001F421A" w14:paraId="4FF79DBB" w14:textId="77777777" w:rsidTr="001F421A">
        <w:trPr>
          <w:trHeight w:val="290"/>
        </w:trPr>
        <w:tc>
          <w:tcPr>
            <w:tcW w:w="2127" w:type="dxa"/>
            <w:tcBorders>
              <w:top w:val="nil"/>
              <w:left w:val="nil"/>
              <w:bottom w:val="single" w:sz="4" w:space="0" w:color="auto"/>
              <w:right w:val="nil"/>
            </w:tcBorders>
            <w:shd w:val="clear" w:color="auto" w:fill="auto"/>
            <w:noWrap/>
            <w:vAlign w:val="bottom"/>
            <w:hideMark/>
          </w:tcPr>
          <w:p w14:paraId="16EF9693" w14:textId="77777777" w:rsidR="00D073A5" w:rsidRPr="001F421A" w:rsidRDefault="00D073A5" w:rsidP="008A0967">
            <w:pPr>
              <w:spacing w:after="0" w:line="240" w:lineRule="auto"/>
              <w:jc w:val="center"/>
              <w:rPr>
                <w:rFonts w:eastAsia="Times New Roman" w:cs="Times New Roman"/>
                <w:color w:val="000000"/>
                <w:sz w:val="24"/>
                <w:lang w:eastAsia="en-GB"/>
              </w:rPr>
            </w:pPr>
          </w:p>
        </w:tc>
        <w:tc>
          <w:tcPr>
            <w:tcW w:w="2409" w:type="dxa"/>
            <w:tcBorders>
              <w:top w:val="nil"/>
              <w:left w:val="nil"/>
              <w:bottom w:val="single" w:sz="4" w:space="0" w:color="auto"/>
              <w:right w:val="nil"/>
            </w:tcBorders>
            <w:shd w:val="clear" w:color="auto" w:fill="auto"/>
            <w:noWrap/>
            <w:vAlign w:val="bottom"/>
            <w:hideMark/>
          </w:tcPr>
          <w:p w14:paraId="0070501C"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Yes</w:t>
            </w:r>
          </w:p>
        </w:tc>
        <w:tc>
          <w:tcPr>
            <w:tcW w:w="1668" w:type="dxa"/>
            <w:tcBorders>
              <w:top w:val="nil"/>
              <w:left w:val="nil"/>
              <w:bottom w:val="single" w:sz="4" w:space="0" w:color="auto"/>
              <w:right w:val="nil"/>
            </w:tcBorders>
            <w:shd w:val="clear" w:color="auto" w:fill="auto"/>
            <w:noWrap/>
            <w:vAlign w:val="bottom"/>
            <w:hideMark/>
          </w:tcPr>
          <w:p w14:paraId="6FBDF951" w14:textId="77777777" w:rsidR="00D073A5" w:rsidRPr="001F421A" w:rsidRDefault="00D073A5"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w:t>
            </w:r>
            <w:r w:rsidR="003F356D" w:rsidRPr="001F421A">
              <w:rPr>
                <w:rFonts w:eastAsia="Times New Roman" w:cs="Times New Roman"/>
                <w:color w:val="000000"/>
                <w:sz w:val="24"/>
                <w:lang w:eastAsia="en-GB"/>
              </w:rPr>
              <w:t>346</w:t>
            </w:r>
          </w:p>
        </w:tc>
        <w:tc>
          <w:tcPr>
            <w:tcW w:w="1160" w:type="dxa"/>
            <w:tcBorders>
              <w:top w:val="nil"/>
              <w:left w:val="nil"/>
              <w:bottom w:val="single" w:sz="4" w:space="0" w:color="auto"/>
              <w:right w:val="nil"/>
            </w:tcBorders>
            <w:shd w:val="clear" w:color="auto" w:fill="auto"/>
            <w:noWrap/>
            <w:vAlign w:val="bottom"/>
            <w:hideMark/>
          </w:tcPr>
          <w:p w14:paraId="66128CA4"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0.3297</w:t>
            </w:r>
          </w:p>
        </w:tc>
        <w:tc>
          <w:tcPr>
            <w:tcW w:w="1160" w:type="dxa"/>
            <w:tcBorders>
              <w:top w:val="nil"/>
              <w:left w:val="nil"/>
              <w:bottom w:val="single" w:sz="4" w:space="0" w:color="auto"/>
              <w:right w:val="nil"/>
            </w:tcBorders>
            <w:shd w:val="clear" w:color="auto" w:fill="auto"/>
            <w:noWrap/>
            <w:vAlign w:val="bottom"/>
            <w:hideMark/>
          </w:tcPr>
          <w:p w14:paraId="70AA4A77"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0.3622</w:t>
            </w:r>
          </w:p>
        </w:tc>
      </w:tr>
      <w:tr w:rsidR="00D073A5" w:rsidRPr="001F421A" w14:paraId="17EBAD1C" w14:textId="77777777" w:rsidTr="001F421A">
        <w:trPr>
          <w:trHeight w:val="290"/>
        </w:trPr>
        <w:tc>
          <w:tcPr>
            <w:tcW w:w="2127" w:type="dxa"/>
            <w:tcBorders>
              <w:top w:val="single" w:sz="4" w:space="0" w:color="auto"/>
              <w:left w:val="nil"/>
              <w:right w:val="nil"/>
            </w:tcBorders>
            <w:shd w:val="clear" w:color="auto" w:fill="auto"/>
            <w:noWrap/>
            <w:vAlign w:val="bottom"/>
            <w:hideMark/>
          </w:tcPr>
          <w:p w14:paraId="696AFB5A"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Occupations</w:t>
            </w:r>
          </w:p>
        </w:tc>
        <w:tc>
          <w:tcPr>
            <w:tcW w:w="2409" w:type="dxa"/>
            <w:tcBorders>
              <w:top w:val="single" w:sz="4" w:space="0" w:color="auto"/>
              <w:left w:val="nil"/>
              <w:right w:val="nil"/>
            </w:tcBorders>
            <w:shd w:val="clear" w:color="auto" w:fill="auto"/>
            <w:noWrap/>
            <w:vAlign w:val="bottom"/>
            <w:hideMark/>
          </w:tcPr>
          <w:p w14:paraId="4839A587"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Others</w:t>
            </w:r>
          </w:p>
        </w:tc>
        <w:tc>
          <w:tcPr>
            <w:tcW w:w="1668" w:type="dxa"/>
            <w:tcBorders>
              <w:top w:val="single" w:sz="4" w:space="0" w:color="auto"/>
              <w:left w:val="nil"/>
              <w:right w:val="nil"/>
            </w:tcBorders>
            <w:shd w:val="clear" w:color="auto" w:fill="auto"/>
            <w:noWrap/>
            <w:vAlign w:val="bottom"/>
            <w:hideMark/>
          </w:tcPr>
          <w:p w14:paraId="66901338" w14:textId="77777777" w:rsidR="00D073A5" w:rsidRPr="001F421A" w:rsidRDefault="00D073A5" w:rsidP="003F356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0.3749</w:t>
            </w:r>
          </w:p>
        </w:tc>
        <w:tc>
          <w:tcPr>
            <w:tcW w:w="1160" w:type="dxa"/>
            <w:tcBorders>
              <w:top w:val="single" w:sz="4" w:space="0" w:color="auto"/>
              <w:left w:val="nil"/>
              <w:right w:val="nil"/>
            </w:tcBorders>
            <w:shd w:val="clear" w:color="auto" w:fill="auto"/>
            <w:noWrap/>
            <w:vAlign w:val="bottom"/>
            <w:hideMark/>
          </w:tcPr>
          <w:p w14:paraId="403E29C1"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0.3686</w:t>
            </w:r>
          </w:p>
        </w:tc>
        <w:tc>
          <w:tcPr>
            <w:tcW w:w="1160" w:type="dxa"/>
            <w:tcBorders>
              <w:top w:val="single" w:sz="4" w:space="0" w:color="auto"/>
              <w:left w:val="nil"/>
              <w:right w:val="nil"/>
            </w:tcBorders>
            <w:shd w:val="clear" w:color="auto" w:fill="auto"/>
            <w:noWrap/>
            <w:vAlign w:val="bottom"/>
            <w:hideMark/>
          </w:tcPr>
          <w:p w14:paraId="2BD4A5DC"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0.3813</w:t>
            </w:r>
          </w:p>
        </w:tc>
      </w:tr>
      <w:tr w:rsidR="00D073A5" w:rsidRPr="001F421A" w14:paraId="30FF5065" w14:textId="77777777" w:rsidTr="001F421A">
        <w:trPr>
          <w:trHeight w:val="290"/>
        </w:trPr>
        <w:tc>
          <w:tcPr>
            <w:tcW w:w="2127" w:type="dxa"/>
            <w:tcBorders>
              <w:top w:val="nil"/>
              <w:left w:val="nil"/>
              <w:bottom w:val="single" w:sz="4" w:space="0" w:color="auto"/>
              <w:right w:val="nil"/>
            </w:tcBorders>
            <w:shd w:val="clear" w:color="auto" w:fill="auto"/>
            <w:noWrap/>
            <w:vAlign w:val="bottom"/>
            <w:hideMark/>
          </w:tcPr>
          <w:p w14:paraId="475CC9E3"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 </w:t>
            </w:r>
          </w:p>
        </w:tc>
        <w:tc>
          <w:tcPr>
            <w:tcW w:w="2409" w:type="dxa"/>
            <w:tcBorders>
              <w:top w:val="nil"/>
              <w:left w:val="nil"/>
              <w:bottom w:val="single" w:sz="4" w:space="0" w:color="auto"/>
              <w:right w:val="nil"/>
            </w:tcBorders>
            <w:shd w:val="clear" w:color="auto" w:fill="auto"/>
            <w:noWrap/>
            <w:vAlign w:val="bottom"/>
            <w:hideMark/>
          </w:tcPr>
          <w:p w14:paraId="4DB9E494" w14:textId="77777777" w:rsidR="00D073A5" w:rsidRPr="001F421A" w:rsidRDefault="00D073A5" w:rsidP="008A0967">
            <w:pPr>
              <w:spacing w:after="0" w:line="240" w:lineRule="auto"/>
              <w:rPr>
                <w:rFonts w:eastAsia="Times New Roman" w:cs="Times New Roman"/>
                <w:color w:val="000000"/>
                <w:sz w:val="24"/>
                <w:lang w:eastAsia="en-GB"/>
              </w:rPr>
            </w:pPr>
            <w:r w:rsidRPr="001F421A">
              <w:rPr>
                <w:rFonts w:eastAsia="Times New Roman" w:cs="Times New Roman"/>
                <w:color w:val="000000"/>
                <w:sz w:val="24"/>
                <w:lang w:eastAsia="en-GB"/>
              </w:rPr>
              <w:t>Lower/routine occupations</w:t>
            </w:r>
          </w:p>
        </w:tc>
        <w:tc>
          <w:tcPr>
            <w:tcW w:w="1668" w:type="dxa"/>
            <w:tcBorders>
              <w:top w:val="nil"/>
              <w:left w:val="nil"/>
              <w:bottom w:val="single" w:sz="4" w:space="0" w:color="auto"/>
              <w:right w:val="nil"/>
            </w:tcBorders>
            <w:shd w:val="clear" w:color="auto" w:fill="auto"/>
            <w:noWrap/>
            <w:vAlign w:val="bottom"/>
            <w:hideMark/>
          </w:tcPr>
          <w:p w14:paraId="6F82D6CF" w14:textId="77777777" w:rsidR="00D073A5" w:rsidRPr="001F421A" w:rsidRDefault="003F356D" w:rsidP="008A0967">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0.5489</w:t>
            </w:r>
          </w:p>
        </w:tc>
        <w:tc>
          <w:tcPr>
            <w:tcW w:w="1160" w:type="dxa"/>
            <w:tcBorders>
              <w:top w:val="nil"/>
              <w:left w:val="nil"/>
              <w:bottom w:val="single" w:sz="4" w:space="0" w:color="auto"/>
              <w:right w:val="nil"/>
            </w:tcBorders>
            <w:shd w:val="clear" w:color="auto" w:fill="auto"/>
            <w:noWrap/>
            <w:vAlign w:val="bottom"/>
            <w:hideMark/>
          </w:tcPr>
          <w:p w14:paraId="0977A343" w14:textId="77777777" w:rsidR="00D073A5" w:rsidRPr="001F421A" w:rsidRDefault="003F356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0.5322</w:t>
            </w:r>
          </w:p>
        </w:tc>
        <w:tc>
          <w:tcPr>
            <w:tcW w:w="1160" w:type="dxa"/>
            <w:tcBorders>
              <w:top w:val="nil"/>
              <w:left w:val="nil"/>
              <w:bottom w:val="single" w:sz="4" w:space="0" w:color="auto"/>
              <w:right w:val="nil"/>
            </w:tcBorders>
            <w:shd w:val="clear" w:color="auto" w:fill="auto"/>
            <w:noWrap/>
            <w:vAlign w:val="bottom"/>
            <w:hideMark/>
          </w:tcPr>
          <w:p w14:paraId="4DBEEFB8" w14:textId="77777777" w:rsidR="00D073A5" w:rsidRPr="001F421A" w:rsidRDefault="003C25AD" w:rsidP="003C25AD">
            <w:pPr>
              <w:spacing w:after="0" w:line="240" w:lineRule="auto"/>
              <w:jc w:val="center"/>
              <w:rPr>
                <w:rFonts w:eastAsia="Times New Roman" w:cs="Times New Roman"/>
                <w:color w:val="000000"/>
                <w:sz w:val="24"/>
                <w:lang w:eastAsia="en-GB"/>
              </w:rPr>
            </w:pPr>
            <w:r w:rsidRPr="001F421A">
              <w:rPr>
                <w:rFonts w:eastAsia="Times New Roman" w:cs="Times New Roman"/>
                <w:color w:val="000000"/>
                <w:sz w:val="24"/>
                <w:lang w:eastAsia="en-GB"/>
              </w:rPr>
              <w:t>0.5656</w:t>
            </w:r>
          </w:p>
        </w:tc>
      </w:tr>
    </w:tbl>
    <w:p w14:paraId="21A1D9E0" w14:textId="77777777" w:rsidR="00D073A5" w:rsidRPr="00C91B0E" w:rsidRDefault="00D073A5" w:rsidP="008A0967">
      <w:pPr>
        <w:spacing w:after="0" w:line="240" w:lineRule="auto"/>
        <w:rPr>
          <w:rFonts w:eastAsia="Times New Roman" w:cs="Times New Roman"/>
          <w:color w:val="000000"/>
          <w:lang w:eastAsia="en-GB"/>
        </w:rPr>
      </w:pPr>
      <w:r w:rsidRPr="00C91B0E">
        <w:rPr>
          <w:i/>
        </w:rPr>
        <w:t>Note: each row reports the predicted probability of a dichotomous variable for its 2 values using a logistic analysis regressing a dichotomous variable ‘voting leave’ on that variable with robust standard errors.</w:t>
      </w:r>
    </w:p>
    <w:p w14:paraId="59303BF1" w14:textId="7B06C261" w:rsidR="00D073A5" w:rsidRPr="001F421A" w:rsidRDefault="00D073A5" w:rsidP="008A0967">
      <w:pPr>
        <w:spacing w:after="0" w:line="240" w:lineRule="auto"/>
        <w:rPr>
          <w:sz w:val="24"/>
          <w:szCs w:val="24"/>
        </w:rPr>
      </w:pPr>
    </w:p>
    <w:p w14:paraId="2A787707" w14:textId="77777777" w:rsidR="00D055F5" w:rsidRPr="001F421A" w:rsidRDefault="00D055F5" w:rsidP="008A0967">
      <w:pPr>
        <w:spacing w:after="0" w:line="240" w:lineRule="auto"/>
        <w:rPr>
          <w:sz w:val="24"/>
          <w:szCs w:val="24"/>
        </w:rPr>
      </w:pPr>
    </w:p>
    <w:p w14:paraId="310AA1B7" w14:textId="4D5C0503" w:rsidR="001F421A" w:rsidRPr="00C91B0E" w:rsidRDefault="001F421A" w:rsidP="001F421A">
      <w:pPr>
        <w:spacing w:after="0" w:line="240" w:lineRule="auto"/>
        <w:rPr>
          <w:sz w:val="24"/>
          <w:szCs w:val="24"/>
        </w:rPr>
      </w:pPr>
      <w:r w:rsidRPr="00C91B0E">
        <w:rPr>
          <w:sz w:val="24"/>
          <w:szCs w:val="24"/>
        </w:rPr>
        <w:t>As was the case before, gender is not statistically significant, but this is also the case for earnings from employment. The young are much less likely to support Brexit while the opposite is true for the elderly (relative to middle aged respondents). The other results are the same as before but running the logistic regression with all the independent variables together allows us to compare the magnitude of the effects. This reveals that age is a strong predictor of voting leave and that the effect is reduced as more variables are included. Next, being below the median income, having no formal education, and being in low or routine occupations also have very large significant effects on voting leave.</w:t>
      </w:r>
    </w:p>
    <w:p w14:paraId="7FEAAFC2" w14:textId="77777777" w:rsidR="001F421A" w:rsidRPr="00C91B0E" w:rsidRDefault="001F421A" w:rsidP="001F421A">
      <w:pPr>
        <w:spacing w:after="0" w:line="240" w:lineRule="auto"/>
        <w:rPr>
          <w:sz w:val="24"/>
          <w:szCs w:val="24"/>
        </w:rPr>
      </w:pPr>
    </w:p>
    <w:p w14:paraId="6965B436" w14:textId="77777777" w:rsidR="001F421A" w:rsidRPr="00C91B0E" w:rsidRDefault="001F421A" w:rsidP="001F421A">
      <w:pPr>
        <w:spacing w:after="0" w:line="240" w:lineRule="auto"/>
        <w:rPr>
          <w:rFonts w:eastAsia="Times New Roman" w:cs="Times New Roman"/>
          <w:bCs/>
          <w:sz w:val="24"/>
          <w:szCs w:val="24"/>
          <w:lang w:eastAsia="en-GB"/>
        </w:rPr>
      </w:pPr>
      <w:r w:rsidRPr="00C91B0E">
        <w:rPr>
          <w:sz w:val="24"/>
          <w:szCs w:val="24"/>
        </w:rPr>
        <w:lastRenderedPageBreak/>
        <w:t>It is worth noting that immigration from EU countries was particularly acute for certain occupations. Thus for instance, ONS data</w:t>
      </w:r>
      <w:r w:rsidRPr="00C91B0E">
        <w:rPr>
          <w:rStyle w:val="FootnoteReference"/>
          <w:sz w:val="24"/>
          <w:szCs w:val="24"/>
        </w:rPr>
        <w:footnoteReference w:id="4"/>
      </w:r>
      <w:r w:rsidRPr="00C91B0E">
        <w:rPr>
          <w:sz w:val="24"/>
          <w:szCs w:val="24"/>
        </w:rPr>
        <w:t xml:space="preserve"> suggest that between 2010 and 2014, 164,000 immigrants with a professional or managerial occupational background immigrated to the UK from the EU while 169,000 immigrated from outside the EU. Thus, these occupations are under similar ‘pressure’ from non-EU and EU countries. By contrast, a much larger </w:t>
      </w:r>
      <w:r w:rsidRPr="00C91B0E">
        <w:rPr>
          <w:rFonts w:eastAsia="Times New Roman" w:cs="Times New Roman"/>
          <w:bCs/>
          <w:sz w:val="24"/>
          <w:szCs w:val="24"/>
          <w:lang w:eastAsia="en-GB"/>
        </w:rPr>
        <w:t>277,000</w:t>
      </w:r>
      <w:r w:rsidRPr="00C91B0E">
        <w:rPr>
          <w:rFonts w:eastAsia="Times New Roman" w:cs="Times New Roman"/>
          <w:b/>
          <w:bCs/>
          <w:sz w:val="24"/>
          <w:szCs w:val="24"/>
          <w:lang w:eastAsia="en-GB"/>
        </w:rPr>
        <w:t xml:space="preserve"> </w:t>
      </w:r>
      <w:r w:rsidRPr="00C91B0E">
        <w:rPr>
          <w:sz w:val="24"/>
          <w:szCs w:val="24"/>
        </w:rPr>
        <w:t>immigrants with a</w:t>
      </w:r>
      <w:r w:rsidRPr="00C91B0E">
        <w:rPr>
          <w:rFonts w:eastAsia="Times New Roman" w:cs="Times New Roman"/>
          <w:color w:val="000000"/>
          <w:sz w:val="24"/>
          <w:szCs w:val="24"/>
          <w:lang w:eastAsia="en-GB"/>
        </w:rPr>
        <w:t xml:space="preserve"> manual and clerical occupational background came from EU whereas only </w:t>
      </w:r>
      <w:r w:rsidRPr="00C91B0E">
        <w:rPr>
          <w:rFonts w:eastAsia="Times New Roman" w:cs="Times New Roman"/>
          <w:bCs/>
          <w:sz w:val="24"/>
          <w:szCs w:val="24"/>
          <w:lang w:eastAsia="en-GB"/>
        </w:rPr>
        <w:t>64,000 came from</w:t>
      </w:r>
      <w:r w:rsidRPr="00C91B0E">
        <w:rPr>
          <w:rFonts w:eastAsia="Times New Roman" w:cs="Times New Roman"/>
          <w:b/>
          <w:bCs/>
          <w:sz w:val="24"/>
          <w:szCs w:val="24"/>
          <w:lang w:eastAsia="en-GB"/>
        </w:rPr>
        <w:t xml:space="preserve"> </w:t>
      </w:r>
      <w:r w:rsidRPr="00C91B0E">
        <w:rPr>
          <w:rFonts w:eastAsia="Times New Roman" w:cs="Times New Roman"/>
          <w:bCs/>
          <w:sz w:val="24"/>
          <w:szCs w:val="24"/>
          <w:lang w:eastAsia="en-GB"/>
        </w:rPr>
        <w:t>non-EU countries. As a result differences between occupations may reflect different degrees of exposure to immigration from the EU.</w:t>
      </w:r>
    </w:p>
    <w:p w14:paraId="7DBF7CDD" w14:textId="77777777" w:rsidR="001F421A" w:rsidRPr="00C91B0E" w:rsidRDefault="001F421A" w:rsidP="001F421A">
      <w:pPr>
        <w:spacing w:after="0" w:line="240" w:lineRule="auto"/>
        <w:rPr>
          <w:rFonts w:eastAsia="Times New Roman" w:cs="Times New Roman"/>
          <w:bCs/>
          <w:sz w:val="24"/>
          <w:szCs w:val="24"/>
          <w:lang w:eastAsia="en-GB"/>
        </w:rPr>
      </w:pPr>
    </w:p>
    <w:p w14:paraId="36263727" w14:textId="25B0ACF2" w:rsidR="001F421A" w:rsidRPr="00C91B0E" w:rsidRDefault="001F421A" w:rsidP="001F421A">
      <w:pPr>
        <w:spacing w:after="0" w:line="240" w:lineRule="auto"/>
        <w:rPr>
          <w:sz w:val="24"/>
          <w:szCs w:val="24"/>
        </w:rPr>
      </w:pPr>
      <w:r w:rsidRPr="00C91B0E">
        <w:rPr>
          <w:sz w:val="24"/>
          <w:szCs w:val="24"/>
        </w:rPr>
        <w:t xml:space="preserve">One way to visualise the practical implications of these results is to calculate predicted probabilities of voting leave for </w:t>
      </w:r>
      <w:r w:rsidR="00172E49">
        <w:rPr>
          <w:sz w:val="24"/>
          <w:szCs w:val="24"/>
        </w:rPr>
        <w:t>two</w:t>
      </w:r>
      <w:r w:rsidRPr="00C91B0E">
        <w:rPr>
          <w:sz w:val="24"/>
          <w:szCs w:val="24"/>
        </w:rPr>
        <w:t xml:space="preserve"> hypothetical individuals. </w:t>
      </w:r>
      <w:r w:rsidR="00172E49">
        <w:rPr>
          <w:sz w:val="24"/>
          <w:szCs w:val="24"/>
        </w:rPr>
        <w:t>A</w:t>
      </w:r>
      <w:r w:rsidRPr="00C91B0E">
        <w:rPr>
          <w:sz w:val="24"/>
          <w:szCs w:val="24"/>
        </w:rPr>
        <w:t xml:space="preserve"> white </w:t>
      </w:r>
      <w:r w:rsidR="00172E49">
        <w:rPr>
          <w:sz w:val="24"/>
          <w:szCs w:val="24"/>
        </w:rPr>
        <w:t xml:space="preserve">male </w:t>
      </w:r>
      <w:r w:rsidRPr="00C91B0E">
        <w:rPr>
          <w:sz w:val="24"/>
          <w:szCs w:val="24"/>
        </w:rPr>
        <w:t>between 25 and 65, with no formal education, deriving most of his earnings from employment in a lower or routine occupation, renting his house, and reporting a high risk of unemployment and poverty has a 6</w:t>
      </w:r>
      <w:r w:rsidR="00172E49">
        <w:rPr>
          <w:sz w:val="24"/>
          <w:szCs w:val="24"/>
        </w:rPr>
        <w:t>6% probability of voting leave</w:t>
      </w:r>
      <w:r w:rsidRPr="00C91B0E">
        <w:rPr>
          <w:sz w:val="24"/>
          <w:szCs w:val="24"/>
        </w:rPr>
        <w:t>. Contrast this with an individual that has the same characteristics in all respects except that he has at least some formal education, is not at high risk of poverty or unemployment, nor in a lower or routine occupation, and has studied a ‘protected discipline’: this individual would have a predicted probability of only 25% of voting leave.</w:t>
      </w:r>
    </w:p>
    <w:p w14:paraId="5BCCE641" w14:textId="77777777" w:rsidR="000F540F" w:rsidRPr="00C91B0E" w:rsidRDefault="000F540F" w:rsidP="008A0967">
      <w:pPr>
        <w:spacing w:after="0" w:line="240" w:lineRule="auto"/>
        <w:rPr>
          <w:sz w:val="24"/>
          <w:szCs w:val="24"/>
        </w:rPr>
      </w:pPr>
    </w:p>
    <w:p w14:paraId="5EAA34D0" w14:textId="77777777" w:rsidR="001B2EC3" w:rsidRPr="001F421A" w:rsidRDefault="001B2EC3" w:rsidP="001B2EC3">
      <w:pPr>
        <w:spacing w:after="0" w:line="240" w:lineRule="auto"/>
        <w:rPr>
          <w:b/>
          <w:sz w:val="28"/>
          <w:szCs w:val="24"/>
        </w:rPr>
      </w:pPr>
      <w:r w:rsidRPr="001F421A">
        <w:rPr>
          <w:b/>
          <w:sz w:val="28"/>
          <w:szCs w:val="24"/>
        </w:rPr>
        <w:t>Figure 1: material determinants of voting leave</w:t>
      </w:r>
    </w:p>
    <w:p w14:paraId="42B8EA4D" w14:textId="77777777" w:rsidR="001B2EC3" w:rsidRPr="00C91B0E" w:rsidRDefault="001B2EC3" w:rsidP="001B2EC3">
      <w:pPr>
        <w:spacing w:after="0" w:line="240" w:lineRule="auto"/>
        <w:rPr>
          <w:b/>
          <w:sz w:val="24"/>
          <w:szCs w:val="24"/>
        </w:rPr>
      </w:pPr>
      <w:r w:rsidRPr="00C91B0E">
        <w:rPr>
          <w:b/>
          <w:noProof/>
          <w:sz w:val="24"/>
          <w:szCs w:val="24"/>
          <w:lang w:eastAsia="en-GB"/>
        </w:rPr>
        <w:drawing>
          <wp:inline distT="0" distB="0" distL="0" distR="0" wp14:anchorId="5F4D36CE" wp14:editId="303C607E">
            <wp:extent cx="5311471" cy="388769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64730" cy="3926679"/>
                    </a:xfrm>
                    <a:prstGeom prst="rect">
                      <a:avLst/>
                    </a:prstGeom>
                    <a:noFill/>
                    <a:ln>
                      <a:noFill/>
                    </a:ln>
                  </pic:spPr>
                </pic:pic>
              </a:graphicData>
            </a:graphic>
          </wp:inline>
        </w:drawing>
      </w:r>
    </w:p>
    <w:p w14:paraId="4B01648A" w14:textId="7A8A0C48" w:rsidR="001B2EC3" w:rsidRPr="00C91B0E" w:rsidRDefault="001B2EC3" w:rsidP="001B2EC3">
      <w:pPr>
        <w:spacing w:after="0" w:line="240" w:lineRule="auto"/>
        <w:rPr>
          <w:i/>
          <w:sz w:val="24"/>
          <w:szCs w:val="24"/>
        </w:rPr>
      </w:pPr>
      <w:r w:rsidRPr="00C91B0E">
        <w:rPr>
          <w:i/>
          <w:sz w:val="24"/>
          <w:szCs w:val="24"/>
        </w:rPr>
        <w:t>Note: Robust standard errors clustered by country. Effects are rescaled by the standard deviations of the predictors.</w:t>
      </w:r>
    </w:p>
    <w:p w14:paraId="0F7AD070" w14:textId="77777777" w:rsidR="001B2EC3" w:rsidRPr="00C91B0E" w:rsidRDefault="001B2EC3" w:rsidP="008A0967">
      <w:pPr>
        <w:spacing w:after="0" w:line="240" w:lineRule="auto"/>
        <w:rPr>
          <w:sz w:val="24"/>
          <w:szCs w:val="24"/>
        </w:rPr>
      </w:pPr>
    </w:p>
    <w:p w14:paraId="2EBA8BFB" w14:textId="1FA3A291" w:rsidR="001B2EC3" w:rsidRPr="00172E49" w:rsidRDefault="00172E49" w:rsidP="008A0967">
      <w:pPr>
        <w:spacing w:after="0" w:line="240" w:lineRule="auto"/>
        <w:rPr>
          <w:b/>
          <w:sz w:val="24"/>
          <w:szCs w:val="24"/>
        </w:rPr>
      </w:pPr>
      <w:r w:rsidRPr="00172E49">
        <w:rPr>
          <w:b/>
          <w:sz w:val="24"/>
          <w:szCs w:val="24"/>
        </w:rPr>
        <w:lastRenderedPageBreak/>
        <w:t>Conclusion</w:t>
      </w:r>
    </w:p>
    <w:p w14:paraId="25D900F2" w14:textId="77777777" w:rsidR="001B2EC3" w:rsidRPr="00C91B0E" w:rsidRDefault="001B2EC3" w:rsidP="008A0967">
      <w:pPr>
        <w:spacing w:after="0" w:line="240" w:lineRule="auto"/>
        <w:rPr>
          <w:sz w:val="24"/>
          <w:szCs w:val="24"/>
        </w:rPr>
      </w:pPr>
    </w:p>
    <w:p w14:paraId="1EF912AE" w14:textId="77777777" w:rsidR="00172E49" w:rsidRDefault="00172E49" w:rsidP="00172E49">
      <w:pPr>
        <w:spacing w:after="0" w:line="240" w:lineRule="auto"/>
        <w:rPr>
          <w:sz w:val="24"/>
          <w:szCs w:val="24"/>
        </w:rPr>
      </w:pPr>
      <w:r>
        <w:rPr>
          <w:sz w:val="24"/>
          <w:szCs w:val="24"/>
        </w:rPr>
        <w:t xml:space="preserve">Overall, I find that gender has not played a role whereas age and ethnicity were important. </w:t>
      </w:r>
    </w:p>
    <w:p w14:paraId="35D6E408" w14:textId="54C0650F" w:rsidR="000C7180" w:rsidRDefault="00172E49" w:rsidP="000C7180">
      <w:pPr>
        <w:spacing w:after="0" w:line="240" w:lineRule="auto"/>
        <w:rPr>
          <w:sz w:val="24"/>
          <w:szCs w:val="24"/>
        </w:rPr>
      </w:pPr>
      <w:r>
        <w:rPr>
          <w:sz w:val="24"/>
          <w:szCs w:val="24"/>
        </w:rPr>
        <w:t>But labour market factors also have a profound effect on support for Brexit</w:t>
      </w:r>
      <w:r w:rsidR="000C7180">
        <w:rPr>
          <w:sz w:val="24"/>
          <w:szCs w:val="24"/>
        </w:rPr>
        <w:t>:</w:t>
      </w:r>
      <w:r>
        <w:rPr>
          <w:sz w:val="24"/>
          <w:szCs w:val="24"/>
        </w:rPr>
        <w:t xml:space="preserve"> Low income respondents with no formal education and in low skilled or routine occupations that </w:t>
      </w:r>
      <w:r w:rsidR="000C7180">
        <w:rPr>
          <w:sz w:val="24"/>
          <w:szCs w:val="24"/>
        </w:rPr>
        <w:t xml:space="preserve">are at risk of poverty and </w:t>
      </w:r>
      <w:r>
        <w:rPr>
          <w:sz w:val="24"/>
          <w:szCs w:val="24"/>
        </w:rPr>
        <w:t>have faced the brunt of immigration from the EU are especially likely to support</w:t>
      </w:r>
      <w:r w:rsidR="000C7180">
        <w:rPr>
          <w:sz w:val="24"/>
          <w:szCs w:val="24"/>
        </w:rPr>
        <w:t xml:space="preserve"> Brexit.</w:t>
      </w:r>
    </w:p>
    <w:p w14:paraId="0B838EC3" w14:textId="77777777" w:rsidR="000C7180" w:rsidRDefault="000C7180" w:rsidP="000C7180">
      <w:pPr>
        <w:spacing w:after="0" w:line="240" w:lineRule="auto"/>
        <w:rPr>
          <w:sz w:val="24"/>
          <w:szCs w:val="24"/>
        </w:rPr>
      </w:pPr>
    </w:p>
    <w:bookmarkEnd w:id="0"/>
    <w:p w14:paraId="2343136E" w14:textId="46BA6638" w:rsidR="00E1447B" w:rsidRPr="00C91B0E" w:rsidRDefault="00E1447B" w:rsidP="00C91B0E">
      <w:pPr>
        <w:rPr>
          <w:sz w:val="24"/>
          <w:szCs w:val="24"/>
        </w:rPr>
      </w:pPr>
    </w:p>
    <w:sectPr w:rsidR="00E1447B" w:rsidRPr="00C91B0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88119" w14:textId="77777777" w:rsidR="00E86FD4" w:rsidRDefault="00E86FD4" w:rsidP="00155C0B">
      <w:pPr>
        <w:spacing w:after="0" w:line="240" w:lineRule="auto"/>
      </w:pPr>
      <w:r>
        <w:separator/>
      </w:r>
    </w:p>
  </w:endnote>
  <w:endnote w:type="continuationSeparator" w:id="0">
    <w:p w14:paraId="2BCD4072" w14:textId="77777777" w:rsidR="00E86FD4" w:rsidRDefault="00E86FD4" w:rsidP="0015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629716"/>
      <w:docPartObj>
        <w:docPartGallery w:val="Page Numbers (Bottom of Page)"/>
        <w:docPartUnique/>
      </w:docPartObj>
    </w:sdtPr>
    <w:sdtEndPr>
      <w:rPr>
        <w:noProof/>
      </w:rPr>
    </w:sdtEndPr>
    <w:sdtContent>
      <w:p w14:paraId="0B12EAF0" w14:textId="7CA6AC29" w:rsidR="00726C9A" w:rsidRDefault="00726C9A">
        <w:pPr>
          <w:pStyle w:val="Footer"/>
          <w:jc w:val="right"/>
        </w:pPr>
        <w:r>
          <w:fldChar w:fldCharType="begin"/>
        </w:r>
        <w:r>
          <w:instrText xml:space="preserve"> PAGE   \* MERGEFORMAT </w:instrText>
        </w:r>
        <w:r>
          <w:fldChar w:fldCharType="separate"/>
        </w:r>
        <w:r w:rsidR="003755CB">
          <w:rPr>
            <w:noProof/>
          </w:rPr>
          <w:t>7</w:t>
        </w:r>
        <w:r>
          <w:rPr>
            <w:noProof/>
          </w:rPr>
          <w:fldChar w:fldCharType="end"/>
        </w:r>
      </w:p>
    </w:sdtContent>
  </w:sdt>
  <w:p w14:paraId="6FCBB8A6" w14:textId="77777777" w:rsidR="00726C9A" w:rsidRDefault="00726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0D0B2" w14:textId="77777777" w:rsidR="00E86FD4" w:rsidRDefault="00E86FD4" w:rsidP="00155C0B">
      <w:pPr>
        <w:spacing w:after="0" w:line="240" w:lineRule="auto"/>
      </w:pPr>
      <w:r>
        <w:separator/>
      </w:r>
    </w:p>
  </w:footnote>
  <w:footnote w:type="continuationSeparator" w:id="0">
    <w:p w14:paraId="6A0B1C42" w14:textId="77777777" w:rsidR="00E86FD4" w:rsidRDefault="00E86FD4" w:rsidP="00155C0B">
      <w:pPr>
        <w:spacing w:after="0" w:line="240" w:lineRule="auto"/>
      </w:pPr>
      <w:r>
        <w:continuationSeparator/>
      </w:r>
    </w:p>
  </w:footnote>
  <w:footnote w:id="1">
    <w:p w14:paraId="7BE24B2D" w14:textId="77777777" w:rsidR="00726C9A" w:rsidRDefault="00726C9A" w:rsidP="00F22C15">
      <w:pPr>
        <w:pStyle w:val="FootnoteText"/>
      </w:pPr>
      <w:r>
        <w:rPr>
          <w:rStyle w:val="FootnoteReference"/>
        </w:rPr>
        <w:footnoteRef/>
      </w:r>
      <w:r>
        <w:t xml:space="preserve"> </w:t>
      </w:r>
      <w:r w:rsidRPr="00C26CBD">
        <w:t xml:space="preserve">Fieldhouse, E., Green, J., Evans, G., Schmitt, H., van der Eijk, C., Mellon, J., Prosser, C. (2016). </w:t>
      </w:r>
      <w:r w:rsidRPr="00C26CBD">
        <w:rPr>
          <w:i/>
          <w:iCs/>
        </w:rPr>
        <w:t>British Election Study, 2015: Face-to-Face Post-Election Survey</w:t>
      </w:r>
      <w:r w:rsidRPr="00C26CBD">
        <w:t xml:space="preserve">. UK Data Service. SN: 7972, </w:t>
      </w:r>
      <w:hyperlink r:id="rId1" w:history="1">
        <w:r w:rsidRPr="00C26CBD">
          <w:rPr>
            <w:rStyle w:val="Hyperlink"/>
          </w:rPr>
          <w:t>http://dx.doi.org/10.5255/UKDA-SN-7972-1</w:t>
        </w:r>
      </w:hyperlink>
      <w:r w:rsidRPr="00C26CBD">
        <w:t>.</w:t>
      </w:r>
      <w:r w:rsidRPr="00F22C15">
        <w:rPr>
          <w:rFonts w:eastAsia="Times New Roman" w:cs="Arial"/>
          <w:lang w:eastAsia="en-GB"/>
        </w:rPr>
        <w:t xml:space="preserve"> </w:t>
      </w:r>
      <w:r>
        <w:rPr>
          <w:rFonts w:eastAsia="Times New Roman" w:cs="Arial"/>
          <w:lang w:eastAsia="en-GB"/>
        </w:rPr>
        <w:t xml:space="preserve">The survey includes </w:t>
      </w:r>
      <w:r w:rsidRPr="00F22C15">
        <w:t>30,027 respondents</w:t>
      </w:r>
      <w:r>
        <w:t>.</w:t>
      </w:r>
    </w:p>
  </w:footnote>
  <w:footnote w:id="2">
    <w:p w14:paraId="336AFA2E" w14:textId="77777777" w:rsidR="00726C9A" w:rsidRDefault="00726C9A" w:rsidP="00F22C15">
      <w:pPr>
        <w:pStyle w:val="FootnoteText"/>
      </w:pPr>
      <w:r>
        <w:rPr>
          <w:rStyle w:val="FootnoteReference"/>
        </w:rPr>
        <w:footnoteRef/>
      </w:r>
      <w:r>
        <w:t xml:space="preserve"> </w:t>
      </w:r>
      <w:r w:rsidRPr="00C26CBD">
        <w:t>14,010 respondents (46.66%) responded “stay in the EU”, 10,357 (34.5%) “Leave the EU”, 883 (2.9%) said they “would not vote” and 4,775 (15.9%) answered “Don’t Know” (weights applied).</w:t>
      </w:r>
    </w:p>
  </w:footnote>
  <w:footnote w:id="3">
    <w:p w14:paraId="2A0C81DE" w14:textId="77777777" w:rsidR="00726C9A" w:rsidRPr="001760E1" w:rsidRDefault="00726C9A" w:rsidP="00F22C15">
      <w:pPr>
        <w:pStyle w:val="FootnoteText"/>
      </w:pPr>
      <w:r w:rsidRPr="001760E1">
        <w:rPr>
          <w:rStyle w:val="FootnoteReference"/>
        </w:rPr>
        <w:footnoteRef/>
      </w:r>
      <w:r w:rsidRPr="001760E1">
        <w:t xml:space="preserve"> Accessed at: </w:t>
      </w:r>
      <w:hyperlink r:id="rId2" w:history="1">
        <w:r w:rsidRPr="001760E1">
          <w:rPr>
            <w:rStyle w:val="Hyperlink"/>
          </w:rPr>
          <w:t>http://www.ons.gov.uk/peoplepopulationandcommunity/personalandhouseholdfinances/incomeandwealth/bulletins/nowcastinghouseholdincomeintheuk/2015-10-28</w:t>
        </w:r>
      </w:hyperlink>
    </w:p>
  </w:footnote>
  <w:footnote w:id="4">
    <w:p w14:paraId="731E9939" w14:textId="77777777" w:rsidR="001F421A" w:rsidRPr="001760E1" w:rsidRDefault="001F421A" w:rsidP="001F421A">
      <w:pPr>
        <w:pStyle w:val="FootnoteText"/>
      </w:pPr>
      <w:r w:rsidRPr="001760E1">
        <w:rPr>
          <w:rStyle w:val="FootnoteReference"/>
        </w:rPr>
        <w:footnoteRef/>
      </w:r>
      <w:r w:rsidRPr="001760E1">
        <w:t xml:space="preserve"> </w:t>
      </w:r>
      <w:r w:rsidRPr="001760E1">
        <w:rPr>
          <w:rFonts w:eastAsia="Times New Roman" w:cs="Times New Roman"/>
          <w:bCs/>
          <w:color w:val="000000"/>
          <w:lang w:eastAsia="en-GB"/>
        </w:rPr>
        <w:t xml:space="preserve">Long-Term International Migration, estimates from the International Passenger Survey -Annual data. </w:t>
      </w:r>
      <w:r w:rsidRPr="001760E1">
        <w:t>Source: Office for National Statistics (ONS).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AF"/>
    <w:rsid w:val="00000AC4"/>
    <w:rsid w:val="00003A9F"/>
    <w:rsid w:val="000048E6"/>
    <w:rsid w:val="00004D74"/>
    <w:rsid w:val="000105A8"/>
    <w:rsid w:val="000113D0"/>
    <w:rsid w:val="000119B3"/>
    <w:rsid w:val="00013CE9"/>
    <w:rsid w:val="00013F9A"/>
    <w:rsid w:val="000146B5"/>
    <w:rsid w:val="000146BA"/>
    <w:rsid w:val="00020D87"/>
    <w:rsid w:val="00020EA9"/>
    <w:rsid w:val="000210CE"/>
    <w:rsid w:val="00023795"/>
    <w:rsid w:val="0002456E"/>
    <w:rsid w:val="00025965"/>
    <w:rsid w:val="00027153"/>
    <w:rsid w:val="0003042E"/>
    <w:rsid w:val="00031CC2"/>
    <w:rsid w:val="00031FA6"/>
    <w:rsid w:val="00032441"/>
    <w:rsid w:val="000326DB"/>
    <w:rsid w:val="000348E8"/>
    <w:rsid w:val="00034BFB"/>
    <w:rsid w:val="00036014"/>
    <w:rsid w:val="00036A00"/>
    <w:rsid w:val="00037849"/>
    <w:rsid w:val="0004005B"/>
    <w:rsid w:val="00042889"/>
    <w:rsid w:val="0004556A"/>
    <w:rsid w:val="00045FC4"/>
    <w:rsid w:val="00046968"/>
    <w:rsid w:val="00047540"/>
    <w:rsid w:val="00050D4B"/>
    <w:rsid w:val="00052557"/>
    <w:rsid w:val="000530E8"/>
    <w:rsid w:val="0005366F"/>
    <w:rsid w:val="000548DB"/>
    <w:rsid w:val="0005629B"/>
    <w:rsid w:val="00056D0F"/>
    <w:rsid w:val="00057A54"/>
    <w:rsid w:val="00060546"/>
    <w:rsid w:val="0006494A"/>
    <w:rsid w:val="00064FAB"/>
    <w:rsid w:val="00067C15"/>
    <w:rsid w:val="00071F2A"/>
    <w:rsid w:val="00072162"/>
    <w:rsid w:val="000730F3"/>
    <w:rsid w:val="00074E11"/>
    <w:rsid w:val="00074F07"/>
    <w:rsid w:val="00077BD8"/>
    <w:rsid w:val="0008011A"/>
    <w:rsid w:val="00081DD7"/>
    <w:rsid w:val="00082247"/>
    <w:rsid w:val="000823EE"/>
    <w:rsid w:val="00083E5F"/>
    <w:rsid w:val="00083FD7"/>
    <w:rsid w:val="000873AA"/>
    <w:rsid w:val="00095BED"/>
    <w:rsid w:val="000A2028"/>
    <w:rsid w:val="000A527F"/>
    <w:rsid w:val="000A6D18"/>
    <w:rsid w:val="000A72C3"/>
    <w:rsid w:val="000A77E2"/>
    <w:rsid w:val="000B2957"/>
    <w:rsid w:val="000B37BE"/>
    <w:rsid w:val="000B51A4"/>
    <w:rsid w:val="000C0557"/>
    <w:rsid w:val="000C09DC"/>
    <w:rsid w:val="000C0D4F"/>
    <w:rsid w:val="000C3451"/>
    <w:rsid w:val="000C356A"/>
    <w:rsid w:val="000C4039"/>
    <w:rsid w:val="000C43E8"/>
    <w:rsid w:val="000C4D42"/>
    <w:rsid w:val="000C7180"/>
    <w:rsid w:val="000C7367"/>
    <w:rsid w:val="000D216B"/>
    <w:rsid w:val="000D25CA"/>
    <w:rsid w:val="000D43D1"/>
    <w:rsid w:val="000D5F50"/>
    <w:rsid w:val="000D7594"/>
    <w:rsid w:val="000E036E"/>
    <w:rsid w:val="000E1399"/>
    <w:rsid w:val="000E13E2"/>
    <w:rsid w:val="000E197B"/>
    <w:rsid w:val="000E1B5B"/>
    <w:rsid w:val="000E6FE4"/>
    <w:rsid w:val="000F056E"/>
    <w:rsid w:val="000F0997"/>
    <w:rsid w:val="000F2870"/>
    <w:rsid w:val="000F2BE1"/>
    <w:rsid w:val="000F2C78"/>
    <w:rsid w:val="000F2E99"/>
    <w:rsid w:val="000F3641"/>
    <w:rsid w:val="000F486E"/>
    <w:rsid w:val="000F540F"/>
    <w:rsid w:val="000F5775"/>
    <w:rsid w:val="000F5A99"/>
    <w:rsid w:val="000F5C33"/>
    <w:rsid w:val="000F750B"/>
    <w:rsid w:val="000F78DD"/>
    <w:rsid w:val="00100141"/>
    <w:rsid w:val="00101429"/>
    <w:rsid w:val="00102509"/>
    <w:rsid w:val="00104DDE"/>
    <w:rsid w:val="00106A16"/>
    <w:rsid w:val="001073CA"/>
    <w:rsid w:val="00110EF4"/>
    <w:rsid w:val="001128D7"/>
    <w:rsid w:val="00112FB2"/>
    <w:rsid w:val="00113946"/>
    <w:rsid w:val="0011618F"/>
    <w:rsid w:val="00117991"/>
    <w:rsid w:val="00120CAF"/>
    <w:rsid w:val="00122303"/>
    <w:rsid w:val="00122595"/>
    <w:rsid w:val="0012415A"/>
    <w:rsid w:val="00125025"/>
    <w:rsid w:val="0012657E"/>
    <w:rsid w:val="0012680E"/>
    <w:rsid w:val="0012766A"/>
    <w:rsid w:val="001302DA"/>
    <w:rsid w:val="00130C8D"/>
    <w:rsid w:val="00145F85"/>
    <w:rsid w:val="0015083B"/>
    <w:rsid w:val="00151961"/>
    <w:rsid w:val="00152023"/>
    <w:rsid w:val="00153C04"/>
    <w:rsid w:val="00154452"/>
    <w:rsid w:val="001547C4"/>
    <w:rsid w:val="00155C0B"/>
    <w:rsid w:val="00160349"/>
    <w:rsid w:val="00164E31"/>
    <w:rsid w:val="0016579E"/>
    <w:rsid w:val="00165FA9"/>
    <w:rsid w:val="00171561"/>
    <w:rsid w:val="00171F09"/>
    <w:rsid w:val="00172E49"/>
    <w:rsid w:val="00173185"/>
    <w:rsid w:val="00175219"/>
    <w:rsid w:val="00175442"/>
    <w:rsid w:val="001760E1"/>
    <w:rsid w:val="00181D6D"/>
    <w:rsid w:val="001821F9"/>
    <w:rsid w:val="00183486"/>
    <w:rsid w:val="0018606F"/>
    <w:rsid w:val="00192677"/>
    <w:rsid w:val="00193F11"/>
    <w:rsid w:val="001A1037"/>
    <w:rsid w:val="001A2560"/>
    <w:rsid w:val="001A26B2"/>
    <w:rsid w:val="001A3158"/>
    <w:rsid w:val="001A39F3"/>
    <w:rsid w:val="001A4528"/>
    <w:rsid w:val="001A593F"/>
    <w:rsid w:val="001A604C"/>
    <w:rsid w:val="001A6762"/>
    <w:rsid w:val="001B08AB"/>
    <w:rsid w:val="001B2EC3"/>
    <w:rsid w:val="001B4CDD"/>
    <w:rsid w:val="001B601F"/>
    <w:rsid w:val="001C1AC0"/>
    <w:rsid w:val="001C1ECD"/>
    <w:rsid w:val="001C2956"/>
    <w:rsid w:val="001D01BE"/>
    <w:rsid w:val="001D0C0B"/>
    <w:rsid w:val="001D1629"/>
    <w:rsid w:val="001D2843"/>
    <w:rsid w:val="001D41F8"/>
    <w:rsid w:val="001D5BDE"/>
    <w:rsid w:val="001D5ECB"/>
    <w:rsid w:val="001E2E64"/>
    <w:rsid w:val="001E54AB"/>
    <w:rsid w:val="001F0907"/>
    <w:rsid w:val="001F24A8"/>
    <w:rsid w:val="001F2BDA"/>
    <w:rsid w:val="001F421A"/>
    <w:rsid w:val="001F56E7"/>
    <w:rsid w:val="001F5D13"/>
    <w:rsid w:val="001F699D"/>
    <w:rsid w:val="00200F2B"/>
    <w:rsid w:val="00201895"/>
    <w:rsid w:val="00202E43"/>
    <w:rsid w:val="002030DB"/>
    <w:rsid w:val="00203A33"/>
    <w:rsid w:val="00205C1D"/>
    <w:rsid w:val="00206706"/>
    <w:rsid w:val="00207896"/>
    <w:rsid w:val="00210B57"/>
    <w:rsid w:val="00217A16"/>
    <w:rsid w:val="00221E55"/>
    <w:rsid w:val="00223527"/>
    <w:rsid w:val="00224A59"/>
    <w:rsid w:val="00225131"/>
    <w:rsid w:val="002316FD"/>
    <w:rsid w:val="00231A7B"/>
    <w:rsid w:val="00231EE9"/>
    <w:rsid w:val="00232DD8"/>
    <w:rsid w:val="0023503D"/>
    <w:rsid w:val="00236007"/>
    <w:rsid w:val="002365EC"/>
    <w:rsid w:val="002379B4"/>
    <w:rsid w:val="00237D65"/>
    <w:rsid w:val="00244ED8"/>
    <w:rsid w:val="00253593"/>
    <w:rsid w:val="00253E49"/>
    <w:rsid w:val="00255924"/>
    <w:rsid w:val="00255E6E"/>
    <w:rsid w:val="00256182"/>
    <w:rsid w:val="002574B3"/>
    <w:rsid w:val="00261F92"/>
    <w:rsid w:val="002622BF"/>
    <w:rsid w:val="00262ECB"/>
    <w:rsid w:val="00264C40"/>
    <w:rsid w:val="00270173"/>
    <w:rsid w:val="002726EF"/>
    <w:rsid w:val="00280F38"/>
    <w:rsid w:val="00282954"/>
    <w:rsid w:val="00284F83"/>
    <w:rsid w:val="0029332C"/>
    <w:rsid w:val="0029400E"/>
    <w:rsid w:val="00294F2B"/>
    <w:rsid w:val="00295E00"/>
    <w:rsid w:val="0029626E"/>
    <w:rsid w:val="00296BAA"/>
    <w:rsid w:val="002A0ACA"/>
    <w:rsid w:val="002A3DEC"/>
    <w:rsid w:val="002A5E1B"/>
    <w:rsid w:val="002A6E39"/>
    <w:rsid w:val="002A7449"/>
    <w:rsid w:val="002B039F"/>
    <w:rsid w:val="002B632E"/>
    <w:rsid w:val="002B6748"/>
    <w:rsid w:val="002C2076"/>
    <w:rsid w:val="002C299B"/>
    <w:rsid w:val="002C432B"/>
    <w:rsid w:val="002D0711"/>
    <w:rsid w:val="002D13DF"/>
    <w:rsid w:val="002D238A"/>
    <w:rsid w:val="002D55E5"/>
    <w:rsid w:val="002D5AC6"/>
    <w:rsid w:val="002E0E76"/>
    <w:rsid w:val="002E5198"/>
    <w:rsid w:val="002E6439"/>
    <w:rsid w:val="002E6C9A"/>
    <w:rsid w:val="002E70AF"/>
    <w:rsid w:val="002F02DD"/>
    <w:rsid w:val="002F41EE"/>
    <w:rsid w:val="002F5815"/>
    <w:rsid w:val="002F7259"/>
    <w:rsid w:val="002F7B29"/>
    <w:rsid w:val="003018BE"/>
    <w:rsid w:val="00302A83"/>
    <w:rsid w:val="00304B5E"/>
    <w:rsid w:val="003063F1"/>
    <w:rsid w:val="00307404"/>
    <w:rsid w:val="003126DE"/>
    <w:rsid w:val="00313254"/>
    <w:rsid w:val="00314C54"/>
    <w:rsid w:val="00314CF7"/>
    <w:rsid w:val="00317279"/>
    <w:rsid w:val="00320E55"/>
    <w:rsid w:val="00320F47"/>
    <w:rsid w:val="00324797"/>
    <w:rsid w:val="003270FF"/>
    <w:rsid w:val="00327273"/>
    <w:rsid w:val="00331A71"/>
    <w:rsid w:val="00334DE2"/>
    <w:rsid w:val="003356E7"/>
    <w:rsid w:val="00336B9B"/>
    <w:rsid w:val="003414EC"/>
    <w:rsid w:val="00341BF1"/>
    <w:rsid w:val="00343978"/>
    <w:rsid w:val="00344DD6"/>
    <w:rsid w:val="00344DDB"/>
    <w:rsid w:val="00344E6C"/>
    <w:rsid w:val="00345C82"/>
    <w:rsid w:val="00346F19"/>
    <w:rsid w:val="00351854"/>
    <w:rsid w:val="0035250E"/>
    <w:rsid w:val="00353DD3"/>
    <w:rsid w:val="0035446F"/>
    <w:rsid w:val="0036197D"/>
    <w:rsid w:val="00361B93"/>
    <w:rsid w:val="003660B0"/>
    <w:rsid w:val="003668AA"/>
    <w:rsid w:val="0037292C"/>
    <w:rsid w:val="0037520A"/>
    <w:rsid w:val="003755CB"/>
    <w:rsid w:val="003803F6"/>
    <w:rsid w:val="003809CB"/>
    <w:rsid w:val="00380B00"/>
    <w:rsid w:val="00382BB2"/>
    <w:rsid w:val="00383A6E"/>
    <w:rsid w:val="00385ED0"/>
    <w:rsid w:val="003902C4"/>
    <w:rsid w:val="00393554"/>
    <w:rsid w:val="00394A16"/>
    <w:rsid w:val="003952B7"/>
    <w:rsid w:val="00395780"/>
    <w:rsid w:val="003963CD"/>
    <w:rsid w:val="003A2515"/>
    <w:rsid w:val="003B1EAE"/>
    <w:rsid w:val="003B6DC5"/>
    <w:rsid w:val="003C03AD"/>
    <w:rsid w:val="003C0B28"/>
    <w:rsid w:val="003C0B8C"/>
    <w:rsid w:val="003C0F5A"/>
    <w:rsid w:val="003C1F44"/>
    <w:rsid w:val="003C25AD"/>
    <w:rsid w:val="003C25BC"/>
    <w:rsid w:val="003C36C2"/>
    <w:rsid w:val="003C3E04"/>
    <w:rsid w:val="003C62BD"/>
    <w:rsid w:val="003C7453"/>
    <w:rsid w:val="003D0F03"/>
    <w:rsid w:val="003D0F23"/>
    <w:rsid w:val="003D0FE3"/>
    <w:rsid w:val="003D22D9"/>
    <w:rsid w:val="003D3FA1"/>
    <w:rsid w:val="003D420F"/>
    <w:rsid w:val="003D55F0"/>
    <w:rsid w:val="003D5762"/>
    <w:rsid w:val="003E2E80"/>
    <w:rsid w:val="003E5D57"/>
    <w:rsid w:val="003E6720"/>
    <w:rsid w:val="003E7A73"/>
    <w:rsid w:val="003E7FE7"/>
    <w:rsid w:val="003F0C08"/>
    <w:rsid w:val="003F114D"/>
    <w:rsid w:val="003F1DCE"/>
    <w:rsid w:val="003F356D"/>
    <w:rsid w:val="00400650"/>
    <w:rsid w:val="00401369"/>
    <w:rsid w:val="00404AF1"/>
    <w:rsid w:val="00407E69"/>
    <w:rsid w:val="0041069D"/>
    <w:rsid w:val="00410B9C"/>
    <w:rsid w:val="00411015"/>
    <w:rsid w:val="0041116A"/>
    <w:rsid w:val="00411295"/>
    <w:rsid w:val="00411422"/>
    <w:rsid w:val="0041245C"/>
    <w:rsid w:val="004159B1"/>
    <w:rsid w:val="004179B3"/>
    <w:rsid w:val="00420703"/>
    <w:rsid w:val="004211A0"/>
    <w:rsid w:val="00421DC8"/>
    <w:rsid w:val="00423CCB"/>
    <w:rsid w:val="0042577F"/>
    <w:rsid w:val="004269EA"/>
    <w:rsid w:val="0042723B"/>
    <w:rsid w:val="0043149D"/>
    <w:rsid w:val="0043467F"/>
    <w:rsid w:val="00434AD6"/>
    <w:rsid w:val="0043629E"/>
    <w:rsid w:val="004378C8"/>
    <w:rsid w:val="00441D47"/>
    <w:rsid w:val="00442603"/>
    <w:rsid w:val="00451EC6"/>
    <w:rsid w:val="004548F5"/>
    <w:rsid w:val="004556FE"/>
    <w:rsid w:val="0045711F"/>
    <w:rsid w:val="00464A10"/>
    <w:rsid w:val="00464F4F"/>
    <w:rsid w:val="00467BDA"/>
    <w:rsid w:val="004705F8"/>
    <w:rsid w:val="0047675B"/>
    <w:rsid w:val="00480E6F"/>
    <w:rsid w:val="00481A3C"/>
    <w:rsid w:val="00481D26"/>
    <w:rsid w:val="0048287A"/>
    <w:rsid w:val="00484B93"/>
    <w:rsid w:val="004902F4"/>
    <w:rsid w:val="004919CC"/>
    <w:rsid w:val="00493A37"/>
    <w:rsid w:val="00493BEC"/>
    <w:rsid w:val="0049530E"/>
    <w:rsid w:val="00495C30"/>
    <w:rsid w:val="004972E6"/>
    <w:rsid w:val="00497B91"/>
    <w:rsid w:val="00497D06"/>
    <w:rsid w:val="004A02D6"/>
    <w:rsid w:val="004A0C28"/>
    <w:rsid w:val="004A1B15"/>
    <w:rsid w:val="004A37FC"/>
    <w:rsid w:val="004A553E"/>
    <w:rsid w:val="004A6887"/>
    <w:rsid w:val="004A7929"/>
    <w:rsid w:val="004B1917"/>
    <w:rsid w:val="004B33C5"/>
    <w:rsid w:val="004B4331"/>
    <w:rsid w:val="004B4348"/>
    <w:rsid w:val="004B4B34"/>
    <w:rsid w:val="004B7661"/>
    <w:rsid w:val="004C0E79"/>
    <w:rsid w:val="004C0FD2"/>
    <w:rsid w:val="004C27AC"/>
    <w:rsid w:val="004C481B"/>
    <w:rsid w:val="004C4CB6"/>
    <w:rsid w:val="004D01D2"/>
    <w:rsid w:val="004D03CD"/>
    <w:rsid w:val="004D2370"/>
    <w:rsid w:val="004D23B2"/>
    <w:rsid w:val="004D305D"/>
    <w:rsid w:val="004D359D"/>
    <w:rsid w:val="004D4182"/>
    <w:rsid w:val="004D5738"/>
    <w:rsid w:val="004D6489"/>
    <w:rsid w:val="004D7A6E"/>
    <w:rsid w:val="004E197C"/>
    <w:rsid w:val="004E2E73"/>
    <w:rsid w:val="004E7608"/>
    <w:rsid w:val="004F020F"/>
    <w:rsid w:val="004F07C4"/>
    <w:rsid w:val="004F0F27"/>
    <w:rsid w:val="004F1EA6"/>
    <w:rsid w:val="004F44CF"/>
    <w:rsid w:val="004F5CA0"/>
    <w:rsid w:val="004F613D"/>
    <w:rsid w:val="00500CA8"/>
    <w:rsid w:val="0050291F"/>
    <w:rsid w:val="0050547D"/>
    <w:rsid w:val="005065FD"/>
    <w:rsid w:val="0050715F"/>
    <w:rsid w:val="005071E1"/>
    <w:rsid w:val="00510DBF"/>
    <w:rsid w:val="0051166D"/>
    <w:rsid w:val="00511B28"/>
    <w:rsid w:val="00511C5E"/>
    <w:rsid w:val="005123C8"/>
    <w:rsid w:val="00514B4C"/>
    <w:rsid w:val="00515928"/>
    <w:rsid w:val="0052153C"/>
    <w:rsid w:val="0052268F"/>
    <w:rsid w:val="005249FD"/>
    <w:rsid w:val="005262FC"/>
    <w:rsid w:val="00527279"/>
    <w:rsid w:val="00535C2D"/>
    <w:rsid w:val="00542A26"/>
    <w:rsid w:val="00544CB9"/>
    <w:rsid w:val="00545213"/>
    <w:rsid w:val="0054526A"/>
    <w:rsid w:val="00545F8B"/>
    <w:rsid w:val="00547AF3"/>
    <w:rsid w:val="0055097A"/>
    <w:rsid w:val="00550AD5"/>
    <w:rsid w:val="005526CE"/>
    <w:rsid w:val="005531A6"/>
    <w:rsid w:val="00554737"/>
    <w:rsid w:val="00554F56"/>
    <w:rsid w:val="005571B1"/>
    <w:rsid w:val="0055751A"/>
    <w:rsid w:val="00560C11"/>
    <w:rsid w:val="00566023"/>
    <w:rsid w:val="00567882"/>
    <w:rsid w:val="00567F27"/>
    <w:rsid w:val="005701A1"/>
    <w:rsid w:val="0057197D"/>
    <w:rsid w:val="0057269E"/>
    <w:rsid w:val="00573094"/>
    <w:rsid w:val="00573ABC"/>
    <w:rsid w:val="005762EA"/>
    <w:rsid w:val="00576F48"/>
    <w:rsid w:val="005770EF"/>
    <w:rsid w:val="00581F44"/>
    <w:rsid w:val="0058256C"/>
    <w:rsid w:val="005830DD"/>
    <w:rsid w:val="00584D6D"/>
    <w:rsid w:val="00585820"/>
    <w:rsid w:val="005872D1"/>
    <w:rsid w:val="00587795"/>
    <w:rsid w:val="00587C35"/>
    <w:rsid w:val="0059031B"/>
    <w:rsid w:val="005905B0"/>
    <w:rsid w:val="0059359D"/>
    <w:rsid w:val="00593663"/>
    <w:rsid w:val="00596125"/>
    <w:rsid w:val="0059649E"/>
    <w:rsid w:val="005975A3"/>
    <w:rsid w:val="005A09DB"/>
    <w:rsid w:val="005A0C1B"/>
    <w:rsid w:val="005A0C9D"/>
    <w:rsid w:val="005A288B"/>
    <w:rsid w:val="005A33D9"/>
    <w:rsid w:val="005A3CA5"/>
    <w:rsid w:val="005B52BA"/>
    <w:rsid w:val="005B6A7D"/>
    <w:rsid w:val="005C14A5"/>
    <w:rsid w:val="005C2DE7"/>
    <w:rsid w:val="005C39EA"/>
    <w:rsid w:val="005C3A97"/>
    <w:rsid w:val="005C46A1"/>
    <w:rsid w:val="005C68C7"/>
    <w:rsid w:val="005D0387"/>
    <w:rsid w:val="005D3D05"/>
    <w:rsid w:val="005D4C92"/>
    <w:rsid w:val="005E094F"/>
    <w:rsid w:val="005E0A14"/>
    <w:rsid w:val="005E3212"/>
    <w:rsid w:val="005E3B67"/>
    <w:rsid w:val="005E53C9"/>
    <w:rsid w:val="005E5AD8"/>
    <w:rsid w:val="005E6033"/>
    <w:rsid w:val="005E666B"/>
    <w:rsid w:val="005E68AF"/>
    <w:rsid w:val="005E7CA8"/>
    <w:rsid w:val="005F0E48"/>
    <w:rsid w:val="005F33B6"/>
    <w:rsid w:val="005F4303"/>
    <w:rsid w:val="005F554F"/>
    <w:rsid w:val="005F6B1D"/>
    <w:rsid w:val="006040D4"/>
    <w:rsid w:val="00613C41"/>
    <w:rsid w:val="006144BD"/>
    <w:rsid w:val="00615261"/>
    <w:rsid w:val="006231D5"/>
    <w:rsid w:val="006237E5"/>
    <w:rsid w:val="0062394F"/>
    <w:rsid w:val="0062526F"/>
    <w:rsid w:val="00625DAF"/>
    <w:rsid w:val="00626037"/>
    <w:rsid w:val="00627103"/>
    <w:rsid w:val="00630891"/>
    <w:rsid w:val="00630EC5"/>
    <w:rsid w:val="00632156"/>
    <w:rsid w:val="00633EF3"/>
    <w:rsid w:val="006341FD"/>
    <w:rsid w:val="00635384"/>
    <w:rsid w:val="00635499"/>
    <w:rsid w:val="00640233"/>
    <w:rsid w:val="00642529"/>
    <w:rsid w:val="00643D02"/>
    <w:rsid w:val="00645024"/>
    <w:rsid w:val="00645EA5"/>
    <w:rsid w:val="00647BB1"/>
    <w:rsid w:val="00650185"/>
    <w:rsid w:val="00650CA2"/>
    <w:rsid w:val="0065723C"/>
    <w:rsid w:val="00657F2E"/>
    <w:rsid w:val="00660A82"/>
    <w:rsid w:val="00665BC6"/>
    <w:rsid w:val="00666BDB"/>
    <w:rsid w:val="0066747E"/>
    <w:rsid w:val="00675969"/>
    <w:rsid w:val="00677F68"/>
    <w:rsid w:val="00680A47"/>
    <w:rsid w:val="006826A0"/>
    <w:rsid w:val="00683F24"/>
    <w:rsid w:val="006843B6"/>
    <w:rsid w:val="0068717B"/>
    <w:rsid w:val="0069013A"/>
    <w:rsid w:val="006910FE"/>
    <w:rsid w:val="00693E79"/>
    <w:rsid w:val="006947B9"/>
    <w:rsid w:val="00697599"/>
    <w:rsid w:val="006A0039"/>
    <w:rsid w:val="006A01D4"/>
    <w:rsid w:val="006A1F05"/>
    <w:rsid w:val="006A27C4"/>
    <w:rsid w:val="006A3E12"/>
    <w:rsid w:val="006A5DDA"/>
    <w:rsid w:val="006A6A88"/>
    <w:rsid w:val="006A78C3"/>
    <w:rsid w:val="006B13E9"/>
    <w:rsid w:val="006B225A"/>
    <w:rsid w:val="006B35FC"/>
    <w:rsid w:val="006B3C2E"/>
    <w:rsid w:val="006C028C"/>
    <w:rsid w:val="006C192B"/>
    <w:rsid w:val="006C2354"/>
    <w:rsid w:val="006C23A2"/>
    <w:rsid w:val="006C2AE6"/>
    <w:rsid w:val="006C4BB5"/>
    <w:rsid w:val="006C58BA"/>
    <w:rsid w:val="006C6315"/>
    <w:rsid w:val="006C7FE0"/>
    <w:rsid w:val="006D39D6"/>
    <w:rsid w:val="006D44F3"/>
    <w:rsid w:val="006D5851"/>
    <w:rsid w:val="006D78A8"/>
    <w:rsid w:val="006E0933"/>
    <w:rsid w:val="006E21BB"/>
    <w:rsid w:val="006E3773"/>
    <w:rsid w:val="006E4CDE"/>
    <w:rsid w:val="006E773B"/>
    <w:rsid w:val="006F3C45"/>
    <w:rsid w:val="006F54DC"/>
    <w:rsid w:val="006F5FF1"/>
    <w:rsid w:val="006F7E18"/>
    <w:rsid w:val="007018FF"/>
    <w:rsid w:val="007021C9"/>
    <w:rsid w:val="00702D33"/>
    <w:rsid w:val="007032B4"/>
    <w:rsid w:val="00703559"/>
    <w:rsid w:val="00703D76"/>
    <w:rsid w:val="0070506C"/>
    <w:rsid w:val="00705F60"/>
    <w:rsid w:val="00706711"/>
    <w:rsid w:val="00710123"/>
    <w:rsid w:val="00710FB9"/>
    <w:rsid w:val="007126E7"/>
    <w:rsid w:val="0071381A"/>
    <w:rsid w:val="00715D8F"/>
    <w:rsid w:val="00716C5A"/>
    <w:rsid w:val="00716D31"/>
    <w:rsid w:val="0072365D"/>
    <w:rsid w:val="0072588F"/>
    <w:rsid w:val="00726446"/>
    <w:rsid w:val="0072693B"/>
    <w:rsid w:val="00726C9A"/>
    <w:rsid w:val="00727BE6"/>
    <w:rsid w:val="00731691"/>
    <w:rsid w:val="00732CF3"/>
    <w:rsid w:val="00732EEC"/>
    <w:rsid w:val="007339BC"/>
    <w:rsid w:val="00734F4C"/>
    <w:rsid w:val="00736B18"/>
    <w:rsid w:val="00741C12"/>
    <w:rsid w:val="0074416F"/>
    <w:rsid w:val="007448EB"/>
    <w:rsid w:val="00745F97"/>
    <w:rsid w:val="007475B2"/>
    <w:rsid w:val="00747B0B"/>
    <w:rsid w:val="00751BE7"/>
    <w:rsid w:val="0075210C"/>
    <w:rsid w:val="007529C1"/>
    <w:rsid w:val="00753B85"/>
    <w:rsid w:val="007556D8"/>
    <w:rsid w:val="00760EF7"/>
    <w:rsid w:val="00764702"/>
    <w:rsid w:val="007676B1"/>
    <w:rsid w:val="007701FD"/>
    <w:rsid w:val="00772BE5"/>
    <w:rsid w:val="007748C5"/>
    <w:rsid w:val="00774E25"/>
    <w:rsid w:val="00774F7E"/>
    <w:rsid w:val="007769B9"/>
    <w:rsid w:val="00776BEF"/>
    <w:rsid w:val="00776DCA"/>
    <w:rsid w:val="007804A9"/>
    <w:rsid w:val="007806DF"/>
    <w:rsid w:val="00780CB2"/>
    <w:rsid w:val="007827E3"/>
    <w:rsid w:val="00783986"/>
    <w:rsid w:val="00784205"/>
    <w:rsid w:val="00784993"/>
    <w:rsid w:val="00786057"/>
    <w:rsid w:val="00786503"/>
    <w:rsid w:val="00791844"/>
    <w:rsid w:val="0079524D"/>
    <w:rsid w:val="00796812"/>
    <w:rsid w:val="00797384"/>
    <w:rsid w:val="007A080F"/>
    <w:rsid w:val="007A1F87"/>
    <w:rsid w:val="007A26FE"/>
    <w:rsid w:val="007A2FCE"/>
    <w:rsid w:val="007A7FBC"/>
    <w:rsid w:val="007B2569"/>
    <w:rsid w:val="007B4932"/>
    <w:rsid w:val="007B4D41"/>
    <w:rsid w:val="007B53F6"/>
    <w:rsid w:val="007B6040"/>
    <w:rsid w:val="007B6934"/>
    <w:rsid w:val="007C0573"/>
    <w:rsid w:val="007C2A16"/>
    <w:rsid w:val="007C2AF2"/>
    <w:rsid w:val="007C3A50"/>
    <w:rsid w:val="007C43D1"/>
    <w:rsid w:val="007C5E1D"/>
    <w:rsid w:val="007D1566"/>
    <w:rsid w:val="007D2CA5"/>
    <w:rsid w:val="007D3FB3"/>
    <w:rsid w:val="007D5675"/>
    <w:rsid w:val="007D5A17"/>
    <w:rsid w:val="007D6C9F"/>
    <w:rsid w:val="007D79F0"/>
    <w:rsid w:val="007E04CA"/>
    <w:rsid w:val="007E1020"/>
    <w:rsid w:val="007E1A62"/>
    <w:rsid w:val="007E3FEC"/>
    <w:rsid w:val="007E4B60"/>
    <w:rsid w:val="007E4E74"/>
    <w:rsid w:val="007E5C66"/>
    <w:rsid w:val="007F1CEE"/>
    <w:rsid w:val="007F39D4"/>
    <w:rsid w:val="007F4267"/>
    <w:rsid w:val="007F4CF2"/>
    <w:rsid w:val="007F6058"/>
    <w:rsid w:val="007F63D6"/>
    <w:rsid w:val="007F6F61"/>
    <w:rsid w:val="00800F6B"/>
    <w:rsid w:val="00801616"/>
    <w:rsid w:val="00801CF1"/>
    <w:rsid w:val="00805B4E"/>
    <w:rsid w:val="00811989"/>
    <w:rsid w:val="00811C89"/>
    <w:rsid w:val="00813B4E"/>
    <w:rsid w:val="00816ADC"/>
    <w:rsid w:val="00821935"/>
    <w:rsid w:val="00823C07"/>
    <w:rsid w:val="0083371C"/>
    <w:rsid w:val="00834674"/>
    <w:rsid w:val="008366D4"/>
    <w:rsid w:val="00840BA3"/>
    <w:rsid w:val="00843793"/>
    <w:rsid w:val="008447AB"/>
    <w:rsid w:val="00847D5D"/>
    <w:rsid w:val="00847EE7"/>
    <w:rsid w:val="00850EDA"/>
    <w:rsid w:val="00851100"/>
    <w:rsid w:val="008549AE"/>
    <w:rsid w:val="00854FAF"/>
    <w:rsid w:val="008550B5"/>
    <w:rsid w:val="008553C0"/>
    <w:rsid w:val="00856A1E"/>
    <w:rsid w:val="00856E6F"/>
    <w:rsid w:val="008604FD"/>
    <w:rsid w:val="00860CF4"/>
    <w:rsid w:val="00862141"/>
    <w:rsid w:val="0086229B"/>
    <w:rsid w:val="00862C01"/>
    <w:rsid w:val="008639F8"/>
    <w:rsid w:val="00866B65"/>
    <w:rsid w:val="00871696"/>
    <w:rsid w:val="008736C7"/>
    <w:rsid w:val="00877919"/>
    <w:rsid w:val="00880AD2"/>
    <w:rsid w:val="00880C1C"/>
    <w:rsid w:val="008835DD"/>
    <w:rsid w:val="008841D9"/>
    <w:rsid w:val="00886C73"/>
    <w:rsid w:val="00887150"/>
    <w:rsid w:val="0089338F"/>
    <w:rsid w:val="00896C05"/>
    <w:rsid w:val="008A0967"/>
    <w:rsid w:val="008A4D01"/>
    <w:rsid w:val="008A5D7F"/>
    <w:rsid w:val="008B3F56"/>
    <w:rsid w:val="008B4F4D"/>
    <w:rsid w:val="008B78EC"/>
    <w:rsid w:val="008B7C10"/>
    <w:rsid w:val="008C312B"/>
    <w:rsid w:val="008C3AE1"/>
    <w:rsid w:val="008C53BF"/>
    <w:rsid w:val="008C744B"/>
    <w:rsid w:val="008D0683"/>
    <w:rsid w:val="008D0BD7"/>
    <w:rsid w:val="008D1033"/>
    <w:rsid w:val="008D115D"/>
    <w:rsid w:val="008D1C1D"/>
    <w:rsid w:val="008D2477"/>
    <w:rsid w:val="008D3BEF"/>
    <w:rsid w:val="008D6249"/>
    <w:rsid w:val="008D7B95"/>
    <w:rsid w:val="008D7E4C"/>
    <w:rsid w:val="008E0A5F"/>
    <w:rsid w:val="008E13FE"/>
    <w:rsid w:val="008E36B9"/>
    <w:rsid w:val="008E4DDA"/>
    <w:rsid w:val="008E76D5"/>
    <w:rsid w:val="008F1353"/>
    <w:rsid w:val="008F3197"/>
    <w:rsid w:val="008F38FA"/>
    <w:rsid w:val="008F67C5"/>
    <w:rsid w:val="008F683B"/>
    <w:rsid w:val="0090250E"/>
    <w:rsid w:val="00904EBC"/>
    <w:rsid w:val="009052F1"/>
    <w:rsid w:val="00905420"/>
    <w:rsid w:val="009057A6"/>
    <w:rsid w:val="00905C93"/>
    <w:rsid w:val="009074A3"/>
    <w:rsid w:val="00911ACC"/>
    <w:rsid w:val="00913B09"/>
    <w:rsid w:val="00914578"/>
    <w:rsid w:val="0092102F"/>
    <w:rsid w:val="009257D1"/>
    <w:rsid w:val="0093216C"/>
    <w:rsid w:val="00933B4F"/>
    <w:rsid w:val="00936496"/>
    <w:rsid w:val="00937A1A"/>
    <w:rsid w:val="00942C22"/>
    <w:rsid w:val="009542FA"/>
    <w:rsid w:val="009571A2"/>
    <w:rsid w:val="009573FB"/>
    <w:rsid w:val="00960A69"/>
    <w:rsid w:val="00961908"/>
    <w:rsid w:val="009637F0"/>
    <w:rsid w:val="009647CF"/>
    <w:rsid w:val="009663F8"/>
    <w:rsid w:val="00971D53"/>
    <w:rsid w:val="00971F15"/>
    <w:rsid w:val="0097488F"/>
    <w:rsid w:val="00975FC4"/>
    <w:rsid w:val="00977700"/>
    <w:rsid w:val="009808B0"/>
    <w:rsid w:val="00980A48"/>
    <w:rsid w:val="00981001"/>
    <w:rsid w:val="00982103"/>
    <w:rsid w:val="009847CA"/>
    <w:rsid w:val="00987C9F"/>
    <w:rsid w:val="00990597"/>
    <w:rsid w:val="00991795"/>
    <w:rsid w:val="00992C7F"/>
    <w:rsid w:val="009A003C"/>
    <w:rsid w:val="009A06C9"/>
    <w:rsid w:val="009A243D"/>
    <w:rsid w:val="009A41BF"/>
    <w:rsid w:val="009A6345"/>
    <w:rsid w:val="009A7FA3"/>
    <w:rsid w:val="009B1FB5"/>
    <w:rsid w:val="009B48BC"/>
    <w:rsid w:val="009B5DCB"/>
    <w:rsid w:val="009B63F4"/>
    <w:rsid w:val="009B6607"/>
    <w:rsid w:val="009C1467"/>
    <w:rsid w:val="009C301A"/>
    <w:rsid w:val="009C3508"/>
    <w:rsid w:val="009C3B9C"/>
    <w:rsid w:val="009C6182"/>
    <w:rsid w:val="009D2449"/>
    <w:rsid w:val="009D4901"/>
    <w:rsid w:val="009D49F5"/>
    <w:rsid w:val="009D4EB4"/>
    <w:rsid w:val="009E02A3"/>
    <w:rsid w:val="009E0DD4"/>
    <w:rsid w:val="009E1E2E"/>
    <w:rsid w:val="009E245A"/>
    <w:rsid w:val="009E377F"/>
    <w:rsid w:val="009E592F"/>
    <w:rsid w:val="009F3206"/>
    <w:rsid w:val="009F6999"/>
    <w:rsid w:val="009F734B"/>
    <w:rsid w:val="009F7B7E"/>
    <w:rsid w:val="00A009C9"/>
    <w:rsid w:val="00A00EC5"/>
    <w:rsid w:val="00A01A1A"/>
    <w:rsid w:val="00A01AE9"/>
    <w:rsid w:val="00A02581"/>
    <w:rsid w:val="00A05C10"/>
    <w:rsid w:val="00A06D41"/>
    <w:rsid w:val="00A06E9F"/>
    <w:rsid w:val="00A1051E"/>
    <w:rsid w:val="00A11B8A"/>
    <w:rsid w:val="00A14CBF"/>
    <w:rsid w:val="00A1503B"/>
    <w:rsid w:val="00A176CF"/>
    <w:rsid w:val="00A20407"/>
    <w:rsid w:val="00A20C11"/>
    <w:rsid w:val="00A26332"/>
    <w:rsid w:val="00A263DA"/>
    <w:rsid w:val="00A27AD4"/>
    <w:rsid w:val="00A310F9"/>
    <w:rsid w:val="00A32075"/>
    <w:rsid w:val="00A37EC7"/>
    <w:rsid w:val="00A41492"/>
    <w:rsid w:val="00A418FC"/>
    <w:rsid w:val="00A42982"/>
    <w:rsid w:val="00A5063C"/>
    <w:rsid w:val="00A50EAA"/>
    <w:rsid w:val="00A51DB5"/>
    <w:rsid w:val="00A52FC4"/>
    <w:rsid w:val="00A54176"/>
    <w:rsid w:val="00A61A5C"/>
    <w:rsid w:val="00A6533A"/>
    <w:rsid w:val="00A7034F"/>
    <w:rsid w:val="00A707BB"/>
    <w:rsid w:val="00A72046"/>
    <w:rsid w:val="00A723D0"/>
    <w:rsid w:val="00A741E3"/>
    <w:rsid w:val="00A80ABA"/>
    <w:rsid w:val="00A83AE5"/>
    <w:rsid w:val="00A83E1C"/>
    <w:rsid w:val="00A8553E"/>
    <w:rsid w:val="00A85EF4"/>
    <w:rsid w:val="00A8753E"/>
    <w:rsid w:val="00A9690B"/>
    <w:rsid w:val="00A97EE2"/>
    <w:rsid w:val="00AA1449"/>
    <w:rsid w:val="00AA1766"/>
    <w:rsid w:val="00AA1B29"/>
    <w:rsid w:val="00AA1E95"/>
    <w:rsid w:val="00AA1EA1"/>
    <w:rsid w:val="00AA39AF"/>
    <w:rsid w:val="00AA447F"/>
    <w:rsid w:val="00AA4D12"/>
    <w:rsid w:val="00AA5B97"/>
    <w:rsid w:val="00AA77EB"/>
    <w:rsid w:val="00AB018E"/>
    <w:rsid w:val="00AB023D"/>
    <w:rsid w:val="00AB0242"/>
    <w:rsid w:val="00AB0CD5"/>
    <w:rsid w:val="00AB1C47"/>
    <w:rsid w:val="00AB1FC3"/>
    <w:rsid w:val="00AB3718"/>
    <w:rsid w:val="00AB7E71"/>
    <w:rsid w:val="00AC0A9E"/>
    <w:rsid w:val="00AC312C"/>
    <w:rsid w:val="00AC3E6D"/>
    <w:rsid w:val="00AC6850"/>
    <w:rsid w:val="00AC6BD7"/>
    <w:rsid w:val="00AC7E75"/>
    <w:rsid w:val="00AD5DE3"/>
    <w:rsid w:val="00AE1530"/>
    <w:rsid w:val="00AE1B7C"/>
    <w:rsid w:val="00AE61C5"/>
    <w:rsid w:val="00AE6987"/>
    <w:rsid w:val="00AE6C24"/>
    <w:rsid w:val="00AE72D0"/>
    <w:rsid w:val="00AE7436"/>
    <w:rsid w:val="00AF128E"/>
    <w:rsid w:val="00AF2F50"/>
    <w:rsid w:val="00AF6802"/>
    <w:rsid w:val="00B0123C"/>
    <w:rsid w:val="00B01D7C"/>
    <w:rsid w:val="00B037E3"/>
    <w:rsid w:val="00B03A1E"/>
    <w:rsid w:val="00B03DB9"/>
    <w:rsid w:val="00B04919"/>
    <w:rsid w:val="00B0499A"/>
    <w:rsid w:val="00B04BCF"/>
    <w:rsid w:val="00B05010"/>
    <w:rsid w:val="00B068F8"/>
    <w:rsid w:val="00B1099C"/>
    <w:rsid w:val="00B10A5B"/>
    <w:rsid w:val="00B116ED"/>
    <w:rsid w:val="00B12CEB"/>
    <w:rsid w:val="00B12F9B"/>
    <w:rsid w:val="00B1350C"/>
    <w:rsid w:val="00B15A00"/>
    <w:rsid w:val="00B23313"/>
    <w:rsid w:val="00B23C7E"/>
    <w:rsid w:val="00B2432B"/>
    <w:rsid w:val="00B25294"/>
    <w:rsid w:val="00B27101"/>
    <w:rsid w:val="00B3090D"/>
    <w:rsid w:val="00B3113E"/>
    <w:rsid w:val="00B31472"/>
    <w:rsid w:val="00B32D9B"/>
    <w:rsid w:val="00B3329A"/>
    <w:rsid w:val="00B34224"/>
    <w:rsid w:val="00B34A45"/>
    <w:rsid w:val="00B36C12"/>
    <w:rsid w:val="00B373F1"/>
    <w:rsid w:val="00B41841"/>
    <w:rsid w:val="00B43CE4"/>
    <w:rsid w:val="00B46A53"/>
    <w:rsid w:val="00B504D6"/>
    <w:rsid w:val="00B53443"/>
    <w:rsid w:val="00B53B85"/>
    <w:rsid w:val="00B53C5F"/>
    <w:rsid w:val="00B55E2C"/>
    <w:rsid w:val="00B613CA"/>
    <w:rsid w:val="00B63C89"/>
    <w:rsid w:val="00B645DF"/>
    <w:rsid w:val="00B64956"/>
    <w:rsid w:val="00B64D31"/>
    <w:rsid w:val="00B70F29"/>
    <w:rsid w:val="00B71645"/>
    <w:rsid w:val="00B73536"/>
    <w:rsid w:val="00B73537"/>
    <w:rsid w:val="00B755E0"/>
    <w:rsid w:val="00B811DC"/>
    <w:rsid w:val="00B81C9A"/>
    <w:rsid w:val="00B83930"/>
    <w:rsid w:val="00B83E30"/>
    <w:rsid w:val="00B843E6"/>
    <w:rsid w:val="00B858F5"/>
    <w:rsid w:val="00B87B99"/>
    <w:rsid w:val="00B92A32"/>
    <w:rsid w:val="00B949A3"/>
    <w:rsid w:val="00B95586"/>
    <w:rsid w:val="00BA0491"/>
    <w:rsid w:val="00BA0967"/>
    <w:rsid w:val="00BA3D3A"/>
    <w:rsid w:val="00BA45D7"/>
    <w:rsid w:val="00BA5A4C"/>
    <w:rsid w:val="00BA619A"/>
    <w:rsid w:val="00BB0B54"/>
    <w:rsid w:val="00BB0CFD"/>
    <w:rsid w:val="00BB0D24"/>
    <w:rsid w:val="00BB4FF5"/>
    <w:rsid w:val="00BB66D1"/>
    <w:rsid w:val="00BB6B67"/>
    <w:rsid w:val="00BC2DE2"/>
    <w:rsid w:val="00BC363D"/>
    <w:rsid w:val="00BC3D3F"/>
    <w:rsid w:val="00BD04C0"/>
    <w:rsid w:val="00BD17ED"/>
    <w:rsid w:val="00BD5A87"/>
    <w:rsid w:val="00BD78F9"/>
    <w:rsid w:val="00BE2AAA"/>
    <w:rsid w:val="00BE33E1"/>
    <w:rsid w:val="00BE59F9"/>
    <w:rsid w:val="00BE6225"/>
    <w:rsid w:val="00BE666D"/>
    <w:rsid w:val="00BE785E"/>
    <w:rsid w:val="00BF0394"/>
    <w:rsid w:val="00BF072A"/>
    <w:rsid w:val="00BF1F7B"/>
    <w:rsid w:val="00BF2BA1"/>
    <w:rsid w:val="00BF4A5D"/>
    <w:rsid w:val="00BF5589"/>
    <w:rsid w:val="00BF7305"/>
    <w:rsid w:val="00C003D8"/>
    <w:rsid w:val="00C02F94"/>
    <w:rsid w:val="00C10EFD"/>
    <w:rsid w:val="00C176C4"/>
    <w:rsid w:val="00C20181"/>
    <w:rsid w:val="00C22AF7"/>
    <w:rsid w:val="00C24145"/>
    <w:rsid w:val="00C25A74"/>
    <w:rsid w:val="00C25EF0"/>
    <w:rsid w:val="00C26CBD"/>
    <w:rsid w:val="00C30582"/>
    <w:rsid w:val="00C32693"/>
    <w:rsid w:val="00C34FC2"/>
    <w:rsid w:val="00C35835"/>
    <w:rsid w:val="00C36427"/>
    <w:rsid w:val="00C375EB"/>
    <w:rsid w:val="00C377CA"/>
    <w:rsid w:val="00C414A1"/>
    <w:rsid w:val="00C426A2"/>
    <w:rsid w:val="00C462ED"/>
    <w:rsid w:val="00C46CD4"/>
    <w:rsid w:val="00C516C5"/>
    <w:rsid w:val="00C52ABD"/>
    <w:rsid w:val="00C53211"/>
    <w:rsid w:val="00C533C3"/>
    <w:rsid w:val="00C55AA7"/>
    <w:rsid w:val="00C55C7C"/>
    <w:rsid w:val="00C56F4C"/>
    <w:rsid w:val="00C57AA9"/>
    <w:rsid w:val="00C61207"/>
    <w:rsid w:val="00C64034"/>
    <w:rsid w:val="00C659AF"/>
    <w:rsid w:val="00C65B8A"/>
    <w:rsid w:val="00C70CF2"/>
    <w:rsid w:val="00C71821"/>
    <w:rsid w:val="00C72103"/>
    <w:rsid w:val="00C75ACA"/>
    <w:rsid w:val="00C761D0"/>
    <w:rsid w:val="00C77BA5"/>
    <w:rsid w:val="00C8013D"/>
    <w:rsid w:val="00C81FE6"/>
    <w:rsid w:val="00C8322D"/>
    <w:rsid w:val="00C83865"/>
    <w:rsid w:val="00C83FFB"/>
    <w:rsid w:val="00C85360"/>
    <w:rsid w:val="00C901F1"/>
    <w:rsid w:val="00C91329"/>
    <w:rsid w:val="00C91B0E"/>
    <w:rsid w:val="00C92DE7"/>
    <w:rsid w:val="00C93BD7"/>
    <w:rsid w:val="00C95C6E"/>
    <w:rsid w:val="00C96AE1"/>
    <w:rsid w:val="00CA0047"/>
    <w:rsid w:val="00CA1FBB"/>
    <w:rsid w:val="00CA252D"/>
    <w:rsid w:val="00CA306B"/>
    <w:rsid w:val="00CA3ABA"/>
    <w:rsid w:val="00CA773E"/>
    <w:rsid w:val="00CB1C81"/>
    <w:rsid w:val="00CB1FF2"/>
    <w:rsid w:val="00CB4FB9"/>
    <w:rsid w:val="00CB681C"/>
    <w:rsid w:val="00CB7EBE"/>
    <w:rsid w:val="00CC06A6"/>
    <w:rsid w:val="00CC093A"/>
    <w:rsid w:val="00CC2460"/>
    <w:rsid w:val="00CC30D1"/>
    <w:rsid w:val="00CC4C2E"/>
    <w:rsid w:val="00CC535B"/>
    <w:rsid w:val="00CD1E16"/>
    <w:rsid w:val="00CD77EE"/>
    <w:rsid w:val="00CE0EC4"/>
    <w:rsid w:val="00CE14CE"/>
    <w:rsid w:val="00CE256E"/>
    <w:rsid w:val="00CE3B95"/>
    <w:rsid w:val="00CF1951"/>
    <w:rsid w:val="00CF28AE"/>
    <w:rsid w:val="00CF3531"/>
    <w:rsid w:val="00CF746F"/>
    <w:rsid w:val="00CF784F"/>
    <w:rsid w:val="00D008FA"/>
    <w:rsid w:val="00D01AD6"/>
    <w:rsid w:val="00D01EE0"/>
    <w:rsid w:val="00D03CF8"/>
    <w:rsid w:val="00D05094"/>
    <w:rsid w:val="00D055F5"/>
    <w:rsid w:val="00D05E61"/>
    <w:rsid w:val="00D073A5"/>
    <w:rsid w:val="00D07D4A"/>
    <w:rsid w:val="00D11B92"/>
    <w:rsid w:val="00D15790"/>
    <w:rsid w:val="00D15D16"/>
    <w:rsid w:val="00D15F9F"/>
    <w:rsid w:val="00D16AA4"/>
    <w:rsid w:val="00D17853"/>
    <w:rsid w:val="00D178FD"/>
    <w:rsid w:val="00D202BB"/>
    <w:rsid w:val="00D2213E"/>
    <w:rsid w:val="00D26B20"/>
    <w:rsid w:val="00D304D3"/>
    <w:rsid w:val="00D30CB4"/>
    <w:rsid w:val="00D327A2"/>
    <w:rsid w:val="00D32C7A"/>
    <w:rsid w:val="00D35F18"/>
    <w:rsid w:val="00D36205"/>
    <w:rsid w:val="00D36668"/>
    <w:rsid w:val="00D36B05"/>
    <w:rsid w:val="00D4131C"/>
    <w:rsid w:val="00D41E55"/>
    <w:rsid w:val="00D42B6D"/>
    <w:rsid w:val="00D44FD1"/>
    <w:rsid w:val="00D51339"/>
    <w:rsid w:val="00D531E3"/>
    <w:rsid w:val="00D548FB"/>
    <w:rsid w:val="00D54A36"/>
    <w:rsid w:val="00D54ABB"/>
    <w:rsid w:val="00D56BFA"/>
    <w:rsid w:val="00D57791"/>
    <w:rsid w:val="00D60BAA"/>
    <w:rsid w:val="00D60C0D"/>
    <w:rsid w:val="00D61814"/>
    <w:rsid w:val="00D6311E"/>
    <w:rsid w:val="00D6317F"/>
    <w:rsid w:val="00D649D5"/>
    <w:rsid w:val="00D652A4"/>
    <w:rsid w:val="00D67D46"/>
    <w:rsid w:val="00D67DD0"/>
    <w:rsid w:val="00D730C5"/>
    <w:rsid w:val="00D7509D"/>
    <w:rsid w:val="00D761F1"/>
    <w:rsid w:val="00D80D27"/>
    <w:rsid w:val="00D8200C"/>
    <w:rsid w:val="00D82C3F"/>
    <w:rsid w:val="00D84D43"/>
    <w:rsid w:val="00D86915"/>
    <w:rsid w:val="00D87153"/>
    <w:rsid w:val="00D87CB6"/>
    <w:rsid w:val="00D87F51"/>
    <w:rsid w:val="00D969EC"/>
    <w:rsid w:val="00D96C49"/>
    <w:rsid w:val="00DA0E58"/>
    <w:rsid w:val="00DA4464"/>
    <w:rsid w:val="00DA4E60"/>
    <w:rsid w:val="00DC0535"/>
    <w:rsid w:val="00DC05F5"/>
    <w:rsid w:val="00DC0683"/>
    <w:rsid w:val="00DC0BBE"/>
    <w:rsid w:val="00DC6791"/>
    <w:rsid w:val="00DD0108"/>
    <w:rsid w:val="00DD6B53"/>
    <w:rsid w:val="00DD6BF2"/>
    <w:rsid w:val="00DE1821"/>
    <w:rsid w:val="00DE2AA3"/>
    <w:rsid w:val="00DE3755"/>
    <w:rsid w:val="00DE3A16"/>
    <w:rsid w:val="00DE3EAE"/>
    <w:rsid w:val="00DE46F2"/>
    <w:rsid w:val="00DE6C3E"/>
    <w:rsid w:val="00DF30AC"/>
    <w:rsid w:val="00DF33F5"/>
    <w:rsid w:val="00DF5096"/>
    <w:rsid w:val="00DF5622"/>
    <w:rsid w:val="00DF5D14"/>
    <w:rsid w:val="00DF688B"/>
    <w:rsid w:val="00E045FB"/>
    <w:rsid w:val="00E05A62"/>
    <w:rsid w:val="00E05DC7"/>
    <w:rsid w:val="00E06590"/>
    <w:rsid w:val="00E06977"/>
    <w:rsid w:val="00E1178C"/>
    <w:rsid w:val="00E1183B"/>
    <w:rsid w:val="00E1447B"/>
    <w:rsid w:val="00E2016F"/>
    <w:rsid w:val="00E20E00"/>
    <w:rsid w:val="00E217D3"/>
    <w:rsid w:val="00E22CB3"/>
    <w:rsid w:val="00E24BF3"/>
    <w:rsid w:val="00E2611A"/>
    <w:rsid w:val="00E268B8"/>
    <w:rsid w:val="00E2750F"/>
    <w:rsid w:val="00E348BC"/>
    <w:rsid w:val="00E353FA"/>
    <w:rsid w:val="00E36271"/>
    <w:rsid w:val="00E370A3"/>
    <w:rsid w:val="00E404E0"/>
    <w:rsid w:val="00E42239"/>
    <w:rsid w:val="00E45125"/>
    <w:rsid w:val="00E464F1"/>
    <w:rsid w:val="00E54281"/>
    <w:rsid w:val="00E547E4"/>
    <w:rsid w:val="00E577E1"/>
    <w:rsid w:val="00E57E46"/>
    <w:rsid w:val="00E6220E"/>
    <w:rsid w:val="00E624E2"/>
    <w:rsid w:val="00E63D0A"/>
    <w:rsid w:val="00E66344"/>
    <w:rsid w:val="00E673D5"/>
    <w:rsid w:val="00E715C8"/>
    <w:rsid w:val="00E76AA9"/>
    <w:rsid w:val="00E7782B"/>
    <w:rsid w:val="00E805E0"/>
    <w:rsid w:val="00E81C6C"/>
    <w:rsid w:val="00E84928"/>
    <w:rsid w:val="00E85BC2"/>
    <w:rsid w:val="00E86FD4"/>
    <w:rsid w:val="00E87108"/>
    <w:rsid w:val="00E87349"/>
    <w:rsid w:val="00E903E7"/>
    <w:rsid w:val="00E932FD"/>
    <w:rsid w:val="00E93AD4"/>
    <w:rsid w:val="00E93F02"/>
    <w:rsid w:val="00E942E2"/>
    <w:rsid w:val="00E97B6C"/>
    <w:rsid w:val="00EA025E"/>
    <w:rsid w:val="00EA0D71"/>
    <w:rsid w:val="00EA11ED"/>
    <w:rsid w:val="00EA5067"/>
    <w:rsid w:val="00EA52A7"/>
    <w:rsid w:val="00EA6C7F"/>
    <w:rsid w:val="00EB234E"/>
    <w:rsid w:val="00EB2903"/>
    <w:rsid w:val="00EB2AF1"/>
    <w:rsid w:val="00EB3013"/>
    <w:rsid w:val="00EB31AE"/>
    <w:rsid w:val="00EB685B"/>
    <w:rsid w:val="00EB6F06"/>
    <w:rsid w:val="00EC2838"/>
    <w:rsid w:val="00EC3104"/>
    <w:rsid w:val="00EC68D2"/>
    <w:rsid w:val="00ED10A4"/>
    <w:rsid w:val="00ED1E8D"/>
    <w:rsid w:val="00ED21BA"/>
    <w:rsid w:val="00ED557A"/>
    <w:rsid w:val="00ED6D57"/>
    <w:rsid w:val="00EE0336"/>
    <w:rsid w:val="00EE0CA0"/>
    <w:rsid w:val="00EF1063"/>
    <w:rsid w:val="00EF6162"/>
    <w:rsid w:val="00EF6EF3"/>
    <w:rsid w:val="00F0055D"/>
    <w:rsid w:val="00F00F37"/>
    <w:rsid w:val="00F0217E"/>
    <w:rsid w:val="00F025BA"/>
    <w:rsid w:val="00F05343"/>
    <w:rsid w:val="00F06446"/>
    <w:rsid w:val="00F06A82"/>
    <w:rsid w:val="00F11703"/>
    <w:rsid w:val="00F11CFC"/>
    <w:rsid w:val="00F12B18"/>
    <w:rsid w:val="00F17CDB"/>
    <w:rsid w:val="00F22C15"/>
    <w:rsid w:val="00F22F90"/>
    <w:rsid w:val="00F2492C"/>
    <w:rsid w:val="00F24E5B"/>
    <w:rsid w:val="00F255EA"/>
    <w:rsid w:val="00F256EB"/>
    <w:rsid w:val="00F25799"/>
    <w:rsid w:val="00F25FFC"/>
    <w:rsid w:val="00F265BF"/>
    <w:rsid w:val="00F27368"/>
    <w:rsid w:val="00F3001D"/>
    <w:rsid w:val="00F30066"/>
    <w:rsid w:val="00F306E8"/>
    <w:rsid w:val="00F334AE"/>
    <w:rsid w:val="00F35733"/>
    <w:rsid w:val="00F366EB"/>
    <w:rsid w:val="00F3677A"/>
    <w:rsid w:val="00F37DD5"/>
    <w:rsid w:val="00F37EE7"/>
    <w:rsid w:val="00F410F0"/>
    <w:rsid w:val="00F42007"/>
    <w:rsid w:val="00F44278"/>
    <w:rsid w:val="00F45452"/>
    <w:rsid w:val="00F477F5"/>
    <w:rsid w:val="00F47CBD"/>
    <w:rsid w:val="00F50391"/>
    <w:rsid w:val="00F541C2"/>
    <w:rsid w:val="00F5664C"/>
    <w:rsid w:val="00F57421"/>
    <w:rsid w:val="00F621A1"/>
    <w:rsid w:val="00F62542"/>
    <w:rsid w:val="00F6317F"/>
    <w:rsid w:val="00F636F1"/>
    <w:rsid w:val="00F71CE9"/>
    <w:rsid w:val="00F7371B"/>
    <w:rsid w:val="00F756A8"/>
    <w:rsid w:val="00F77E58"/>
    <w:rsid w:val="00F81165"/>
    <w:rsid w:val="00F82A9A"/>
    <w:rsid w:val="00F834F3"/>
    <w:rsid w:val="00F84B86"/>
    <w:rsid w:val="00F870EE"/>
    <w:rsid w:val="00F91F8D"/>
    <w:rsid w:val="00F95008"/>
    <w:rsid w:val="00F95EA3"/>
    <w:rsid w:val="00F968B3"/>
    <w:rsid w:val="00F969CF"/>
    <w:rsid w:val="00FA0466"/>
    <w:rsid w:val="00FA05C9"/>
    <w:rsid w:val="00FA1FAA"/>
    <w:rsid w:val="00FA26F0"/>
    <w:rsid w:val="00FA3796"/>
    <w:rsid w:val="00FA4B47"/>
    <w:rsid w:val="00FA5E7C"/>
    <w:rsid w:val="00FA6B78"/>
    <w:rsid w:val="00FB19F7"/>
    <w:rsid w:val="00FB4FE5"/>
    <w:rsid w:val="00FB5405"/>
    <w:rsid w:val="00FB5AAC"/>
    <w:rsid w:val="00FB6D03"/>
    <w:rsid w:val="00FB73F3"/>
    <w:rsid w:val="00FC0B39"/>
    <w:rsid w:val="00FC176F"/>
    <w:rsid w:val="00FC18DA"/>
    <w:rsid w:val="00FC2A1D"/>
    <w:rsid w:val="00FC420D"/>
    <w:rsid w:val="00FC7D1A"/>
    <w:rsid w:val="00FC7E06"/>
    <w:rsid w:val="00FD2095"/>
    <w:rsid w:val="00FD48BE"/>
    <w:rsid w:val="00FD6DC6"/>
    <w:rsid w:val="00FE0DC5"/>
    <w:rsid w:val="00FE1464"/>
    <w:rsid w:val="00FE4791"/>
    <w:rsid w:val="00FE5A70"/>
    <w:rsid w:val="00FE5E48"/>
    <w:rsid w:val="00FE6E2C"/>
    <w:rsid w:val="00FF6777"/>
    <w:rsid w:val="00FF6F47"/>
    <w:rsid w:val="00FF78C7"/>
    <w:rsid w:val="00FF793E"/>
    <w:rsid w:val="00FF7D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019E1"/>
  <w15:docId w15:val="{1412551D-8F81-428E-BFD6-1D544891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CAF"/>
    <w:rPr>
      <w:color w:val="0000FF"/>
      <w:u w:val="single"/>
    </w:rPr>
  </w:style>
  <w:style w:type="character" w:styleId="FollowedHyperlink">
    <w:name w:val="FollowedHyperlink"/>
    <w:basedOn w:val="DefaultParagraphFont"/>
    <w:uiPriority w:val="99"/>
    <w:semiHidden/>
    <w:unhideWhenUsed/>
    <w:rsid w:val="00987C9F"/>
    <w:rPr>
      <w:color w:val="954F72" w:themeColor="followedHyperlink"/>
      <w:u w:val="single"/>
    </w:rPr>
  </w:style>
  <w:style w:type="paragraph" w:styleId="FootnoteText">
    <w:name w:val="footnote text"/>
    <w:basedOn w:val="Normal"/>
    <w:link w:val="FootnoteTextChar"/>
    <w:uiPriority w:val="99"/>
    <w:semiHidden/>
    <w:unhideWhenUsed/>
    <w:rsid w:val="00155C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C0B"/>
    <w:rPr>
      <w:sz w:val="20"/>
      <w:szCs w:val="20"/>
    </w:rPr>
  </w:style>
  <w:style w:type="character" w:styleId="FootnoteReference">
    <w:name w:val="footnote reference"/>
    <w:basedOn w:val="DefaultParagraphFont"/>
    <w:uiPriority w:val="99"/>
    <w:semiHidden/>
    <w:unhideWhenUsed/>
    <w:rsid w:val="00155C0B"/>
    <w:rPr>
      <w:vertAlign w:val="superscript"/>
    </w:rPr>
  </w:style>
  <w:style w:type="paragraph" w:customStyle="1" w:styleId="Default">
    <w:name w:val="Default"/>
    <w:rsid w:val="0069759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36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B05"/>
  </w:style>
  <w:style w:type="paragraph" w:styleId="Footer">
    <w:name w:val="footer"/>
    <w:basedOn w:val="Normal"/>
    <w:link w:val="FooterChar"/>
    <w:uiPriority w:val="99"/>
    <w:unhideWhenUsed/>
    <w:rsid w:val="00D36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B05"/>
  </w:style>
  <w:style w:type="character" w:styleId="CommentReference">
    <w:name w:val="annotation reference"/>
    <w:basedOn w:val="DefaultParagraphFont"/>
    <w:uiPriority w:val="99"/>
    <w:semiHidden/>
    <w:unhideWhenUsed/>
    <w:rsid w:val="00726C9A"/>
    <w:rPr>
      <w:sz w:val="18"/>
      <w:szCs w:val="18"/>
    </w:rPr>
  </w:style>
  <w:style w:type="paragraph" w:styleId="CommentText">
    <w:name w:val="annotation text"/>
    <w:basedOn w:val="Normal"/>
    <w:link w:val="CommentTextChar"/>
    <w:uiPriority w:val="99"/>
    <w:semiHidden/>
    <w:unhideWhenUsed/>
    <w:rsid w:val="00726C9A"/>
    <w:pPr>
      <w:spacing w:line="240" w:lineRule="auto"/>
    </w:pPr>
    <w:rPr>
      <w:sz w:val="24"/>
      <w:szCs w:val="24"/>
    </w:rPr>
  </w:style>
  <w:style w:type="character" w:customStyle="1" w:styleId="CommentTextChar">
    <w:name w:val="Comment Text Char"/>
    <w:basedOn w:val="DefaultParagraphFont"/>
    <w:link w:val="CommentText"/>
    <w:uiPriority w:val="99"/>
    <w:semiHidden/>
    <w:rsid w:val="00726C9A"/>
    <w:rPr>
      <w:sz w:val="24"/>
      <w:szCs w:val="24"/>
    </w:rPr>
  </w:style>
  <w:style w:type="paragraph" w:styleId="CommentSubject">
    <w:name w:val="annotation subject"/>
    <w:basedOn w:val="CommentText"/>
    <w:next w:val="CommentText"/>
    <w:link w:val="CommentSubjectChar"/>
    <w:uiPriority w:val="99"/>
    <w:semiHidden/>
    <w:unhideWhenUsed/>
    <w:rsid w:val="00726C9A"/>
    <w:rPr>
      <w:b/>
      <w:bCs/>
      <w:sz w:val="20"/>
      <w:szCs w:val="20"/>
    </w:rPr>
  </w:style>
  <w:style w:type="character" w:customStyle="1" w:styleId="CommentSubjectChar">
    <w:name w:val="Comment Subject Char"/>
    <w:basedOn w:val="CommentTextChar"/>
    <w:link w:val="CommentSubject"/>
    <w:uiPriority w:val="99"/>
    <w:semiHidden/>
    <w:rsid w:val="00726C9A"/>
    <w:rPr>
      <w:b/>
      <w:bCs/>
      <w:sz w:val="20"/>
      <w:szCs w:val="20"/>
    </w:rPr>
  </w:style>
  <w:style w:type="paragraph" w:styleId="BalloonText">
    <w:name w:val="Balloon Text"/>
    <w:basedOn w:val="Normal"/>
    <w:link w:val="BalloonTextChar"/>
    <w:uiPriority w:val="99"/>
    <w:semiHidden/>
    <w:unhideWhenUsed/>
    <w:rsid w:val="00726C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C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2558">
      <w:bodyDiv w:val="1"/>
      <w:marLeft w:val="0"/>
      <w:marRight w:val="0"/>
      <w:marTop w:val="0"/>
      <w:marBottom w:val="0"/>
      <w:divBdr>
        <w:top w:val="none" w:sz="0" w:space="0" w:color="auto"/>
        <w:left w:val="none" w:sz="0" w:space="0" w:color="auto"/>
        <w:bottom w:val="none" w:sz="0" w:space="0" w:color="auto"/>
        <w:right w:val="none" w:sz="0" w:space="0" w:color="auto"/>
      </w:divBdr>
    </w:div>
    <w:div w:id="1099446582">
      <w:bodyDiv w:val="1"/>
      <w:marLeft w:val="0"/>
      <w:marRight w:val="0"/>
      <w:marTop w:val="0"/>
      <w:marBottom w:val="0"/>
      <w:divBdr>
        <w:top w:val="none" w:sz="0" w:space="0" w:color="auto"/>
        <w:left w:val="none" w:sz="0" w:space="0" w:color="auto"/>
        <w:bottom w:val="none" w:sz="0" w:space="0" w:color="auto"/>
        <w:right w:val="none" w:sz="0" w:space="0" w:color="auto"/>
      </w:divBdr>
      <w:divsChild>
        <w:div w:id="287787905">
          <w:marLeft w:val="0"/>
          <w:marRight w:val="0"/>
          <w:marTop w:val="0"/>
          <w:marBottom w:val="0"/>
          <w:divBdr>
            <w:top w:val="none" w:sz="0" w:space="0" w:color="auto"/>
            <w:left w:val="none" w:sz="0" w:space="0" w:color="auto"/>
            <w:bottom w:val="none" w:sz="0" w:space="0" w:color="auto"/>
            <w:right w:val="none" w:sz="0" w:space="0" w:color="auto"/>
          </w:divBdr>
        </w:div>
        <w:div w:id="574559015">
          <w:marLeft w:val="0"/>
          <w:marRight w:val="0"/>
          <w:marTop w:val="0"/>
          <w:marBottom w:val="0"/>
          <w:divBdr>
            <w:top w:val="none" w:sz="0" w:space="0" w:color="auto"/>
            <w:left w:val="none" w:sz="0" w:space="0" w:color="auto"/>
            <w:bottom w:val="none" w:sz="0" w:space="0" w:color="auto"/>
            <w:right w:val="none" w:sz="0" w:space="0" w:color="auto"/>
          </w:divBdr>
        </w:div>
      </w:divsChild>
    </w:div>
    <w:div w:id="1136337925">
      <w:bodyDiv w:val="1"/>
      <w:marLeft w:val="0"/>
      <w:marRight w:val="0"/>
      <w:marTop w:val="0"/>
      <w:marBottom w:val="0"/>
      <w:divBdr>
        <w:top w:val="none" w:sz="0" w:space="0" w:color="auto"/>
        <w:left w:val="none" w:sz="0" w:space="0" w:color="auto"/>
        <w:bottom w:val="none" w:sz="0" w:space="0" w:color="auto"/>
        <w:right w:val="none" w:sz="0" w:space="0" w:color="auto"/>
      </w:divBdr>
    </w:div>
    <w:div w:id="1680041759">
      <w:bodyDiv w:val="1"/>
      <w:marLeft w:val="0"/>
      <w:marRight w:val="0"/>
      <w:marTop w:val="0"/>
      <w:marBottom w:val="0"/>
      <w:divBdr>
        <w:top w:val="none" w:sz="0" w:space="0" w:color="auto"/>
        <w:left w:val="none" w:sz="0" w:space="0" w:color="auto"/>
        <w:bottom w:val="none" w:sz="0" w:space="0" w:color="auto"/>
        <w:right w:val="none" w:sz="0" w:space="0" w:color="auto"/>
      </w:divBdr>
      <w:divsChild>
        <w:div w:id="1035155683">
          <w:marLeft w:val="0"/>
          <w:marRight w:val="0"/>
          <w:marTop w:val="0"/>
          <w:marBottom w:val="0"/>
          <w:divBdr>
            <w:top w:val="none" w:sz="0" w:space="0" w:color="auto"/>
            <w:left w:val="none" w:sz="0" w:space="0" w:color="auto"/>
            <w:bottom w:val="none" w:sz="0" w:space="0" w:color="auto"/>
            <w:right w:val="none" w:sz="0" w:space="0" w:color="auto"/>
          </w:divBdr>
        </w:div>
      </w:divsChild>
    </w:div>
    <w:div w:id="1922449948">
      <w:bodyDiv w:val="1"/>
      <w:marLeft w:val="0"/>
      <w:marRight w:val="0"/>
      <w:marTop w:val="0"/>
      <w:marBottom w:val="0"/>
      <w:divBdr>
        <w:top w:val="none" w:sz="0" w:space="0" w:color="auto"/>
        <w:left w:val="none" w:sz="0" w:space="0" w:color="auto"/>
        <w:bottom w:val="none" w:sz="0" w:space="0" w:color="auto"/>
        <w:right w:val="none" w:sz="0" w:space="0" w:color="auto"/>
      </w:divBdr>
      <w:divsChild>
        <w:div w:id="2009358079">
          <w:marLeft w:val="0"/>
          <w:marRight w:val="0"/>
          <w:marTop w:val="0"/>
          <w:marBottom w:val="0"/>
          <w:divBdr>
            <w:top w:val="none" w:sz="0" w:space="0" w:color="auto"/>
            <w:left w:val="none" w:sz="0" w:space="0" w:color="auto"/>
            <w:bottom w:val="none" w:sz="0" w:space="0" w:color="auto"/>
            <w:right w:val="none" w:sz="0" w:space="0" w:color="auto"/>
          </w:divBdr>
        </w:div>
        <w:div w:id="222644504">
          <w:marLeft w:val="0"/>
          <w:marRight w:val="0"/>
          <w:marTop w:val="0"/>
          <w:marBottom w:val="0"/>
          <w:divBdr>
            <w:top w:val="none" w:sz="0" w:space="0" w:color="auto"/>
            <w:left w:val="none" w:sz="0" w:space="0" w:color="auto"/>
            <w:bottom w:val="none" w:sz="0" w:space="0" w:color="auto"/>
            <w:right w:val="none" w:sz="0" w:space="0" w:color="auto"/>
          </w:divBdr>
        </w:div>
        <w:div w:id="1042555211">
          <w:marLeft w:val="0"/>
          <w:marRight w:val="0"/>
          <w:marTop w:val="0"/>
          <w:marBottom w:val="0"/>
          <w:divBdr>
            <w:top w:val="none" w:sz="0" w:space="0" w:color="auto"/>
            <w:left w:val="none" w:sz="0" w:space="0" w:color="auto"/>
            <w:bottom w:val="none" w:sz="0" w:space="0" w:color="auto"/>
            <w:right w:val="none" w:sz="0" w:space="0" w:color="auto"/>
          </w:divBdr>
        </w:div>
        <w:div w:id="1364794248">
          <w:marLeft w:val="0"/>
          <w:marRight w:val="0"/>
          <w:marTop w:val="0"/>
          <w:marBottom w:val="0"/>
          <w:divBdr>
            <w:top w:val="none" w:sz="0" w:space="0" w:color="auto"/>
            <w:left w:val="none" w:sz="0" w:space="0" w:color="auto"/>
            <w:bottom w:val="none" w:sz="0" w:space="0" w:color="auto"/>
            <w:right w:val="none" w:sz="0" w:space="0" w:color="auto"/>
          </w:divBdr>
        </w:div>
        <w:div w:id="843132527">
          <w:marLeft w:val="0"/>
          <w:marRight w:val="0"/>
          <w:marTop w:val="0"/>
          <w:marBottom w:val="0"/>
          <w:divBdr>
            <w:top w:val="none" w:sz="0" w:space="0" w:color="auto"/>
            <w:left w:val="none" w:sz="0" w:space="0" w:color="auto"/>
            <w:bottom w:val="none" w:sz="0" w:space="0" w:color="auto"/>
            <w:right w:val="none" w:sz="0" w:space="0" w:color="auto"/>
          </w:divBdr>
        </w:div>
        <w:div w:id="1945501699">
          <w:marLeft w:val="0"/>
          <w:marRight w:val="0"/>
          <w:marTop w:val="0"/>
          <w:marBottom w:val="0"/>
          <w:divBdr>
            <w:top w:val="none" w:sz="0" w:space="0" w:color="auto"/>
            <w:left w:val="none" w:sz="0" w:space="0" w:color="auto"/>
            <w:bottom w:val="none" w:sz="0" w:space="0" w:color="auto"/>
            <w:right w:val="none" w:sz="0" w:space="0" w:color="auto"/>
          </w:divBdr>
        </w:div>
        <w:div w:id="113330384">
          <w:marLeft w:val="0"/>
          <w:marRight w:val="0"/>
          <w:marTop w:val="0"/>
          <w:marBottom w:val="0"/>
          <w:divBdr>
            <w:top w:val="none" w:sz="0" w:space="0" w:color="auto"/>
            <w:left w:val="none" w:sz="0" w:space="0" w:color="auto"/>
            <w:bottom w:val="none" w:sz="0" w:space="0" w:color="auto"/>
            <w:right w:val="none" w:sz="0" w:space="0" w:color="auto"/>
          </w:divBdr>
        </w:div>
        <w:div w:id="1911043257">
          <w:marLeft w:val="0"/>
          <w:marRight w:val="0"/>
          <w:marTop w:val="0"/>
          <w:marBottom w:val="0"/>
          <w:divBdr>
            <w:top w:val="none" w:sz="0" w:space="0" w:color="auto"/>
            <w:left w:val="none" w:sz="0" w:space="0" w:color="auto"/>
            <w:bottom w:val="none" w:sz="0" w:space="0" w:color="auto"/>
            <w:right w:val="none" w:sz="0" w:space="0" w:color="auto"/>
          </w:divBdr>
        </w:div>
        <w:div w:id="1193961440">
          <w:marLeft w:val="0"/>
          <w:marRight w:val="0"/>
          <w:marTop w:val="0"/>
          <w:marBottom w:val="0"/>
          <w:divBdr>
            <w:top w:val="none" w:sz="0" w:space="0" w:color="auto"/>
            <w:left w:val="none" w:sz="0" w:space="0" w:color="auto"/>
            <w:bottom w:val="none" w:sz="0" w:space="0" w:color="auto"/>
            <w:right w:val="none" w:sz="0" w:space="0" w:color="auto"/>
          </w:divBdr>
        </w:div>
        <w:div w:id="560140044">
          <w:marLeft w:val="0"/>
          <w:marRight w:val="0"/>
          <w:marTop w:val="0"/>
          <w:marBottom w:val="0"/>
          <w:divBdr>
            <w:top w:val="none" w:sz="0" w:space="0" w:color="auto"/>
            <w:left w:val="none" w:sz="0" w:space="0" w:color="auto"/>
            <w:bottom w:val="none" w:sz="0" w:space="0" w:color="auto"/>
            <w:right w:val="none" w:sz="0" w:space="0" w:color="auto"/>
          </w:divBdr>
        </w:div>
        <w:div w:id="1573854164">
          <w:marLeft w:val="0"/>
          <w:marRight w:val="0"/>
          <w:marTop w:val="0"/>
          <w:marBottom w:val="0"/>
          <w:divBdr>
            <w:top w:val="none" w:sz="0" w:space="0" w:color="auto"/>
            <w:left w:val="none" w:sz="0" w:space="0" w:color="auto"/>
            <w:bottom w:val="none" w:sz="0" w:space="0" w:color="auto"/>
            <w:right w:val="none" w:sz="0" w:space="0" w:color="auto"/>
          </w:divBdr>
        </w:div>
        <w:div w:id="610356396">
          <w:marLeft w:val="0"/>
          <w:marRight w:val="0"/>
          <w:marTop w:val="0"/>
          <w:marBottom w:val="0"/>
          <w:divBdr>
            <w:top w:val="none" w:sz="0" w:space="0" w:color="auto"/>
            <w:left w:val="none" w:sz="0" w:space="0" w:color="auto"/>
            <w:bottom w:val="none" w:sz="0" w:space="0" w:color="auto"/>
            <w:right w:val="none" w:sz="0" w:space="0" w:color="auto"/>
          </w:divBdr>
        </w:div>
        <w:div w:id="1957441890">
          <w:marLeft w:val="0"/>
          <w:marRight w:val="0"/>
          <w:marTop w:val="0"/>
          <w:marBottom w:val="0"/>
          <w:divBdr>
            <w:top w:val="none" w:sz="0" w:space="0" w:color="auto"/>
            <w:left w:val="none" w:sz="0" w:space="0" w:color="auto"/>
            <w:bottom w:val="none" w:sz="0" w:space="0" w:color="auto"/>
            <w:right w:val="none" w:sz="0" w:space="0" w:color="auto"/>
          </w:divBdr>
        </w:div>
        <w:div w:id="25835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ns.gov.uk/peoplepopulationandcommunity/personalandhouseholdfinances/incomeandwealth/bulletins/nowcastinghouseholdincomeintheuk/2015-10-28" TargetMode="External"/><Relationship Id="rId1" Type="http://schemas.openxmlformats.org/officeDocument/2006/relationships/hyperlink" Target="http://dx.doi.org/10.5255/UKDA-SN-79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Sarah King</cp:lastModifiedBy>
  <cp:revision>2</cp:revision>
  <dcterms:created xsi:type="dcterms:W3CDTF">2016-08-03T12:39:00Z</dcterms:created>
  <dcterms:modified xsi:type="dcterms:W3CDTF">2016-08-03T12:39:00Z</dcterms:modified>
</cp:coreProperties>
</file>